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出纳会计述职报告 会计人员年终述职报告(三篇)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出纳会...</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出纳会计述职报告 会计人员年终述职报告篇一</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7、中信银行金地门道写字楼小额固定资产顺利完成420万放贷工作，累计付出资产项目投入1255万元，包管的资产项目有效实施，为20__年的产销分离的办公格局奠定了优越的根基。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__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宋体" w:hAnsi="宋体" w:eastAsia="宋体" w:cs="宋体"/>
          <w:color w:val="000"/>
          <w:sz w:val="28"/>
          <w:szCs w:val="28"/>
        </w:rPr>
        <w:t xml:space="preserve">出纳会计年终述职报告篇3[_TAG_h3]出纳会计述职报告 会计人员年终述职报告篇二</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财务工作者，这些年来，我时刻的告诫自己，一定要认真工作，20__年，是本人在总队财务工作的第三年。在总队领导的关心和支持下，在各部门同事的协作和帮下，在财务部各位同事紧密配下，财务部的各项工作得以有序的开展，本人能够 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出纳会计述职报告 会计人员年终述职报告篇三</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1、严格执行现金管理和结算制度，定期向会计核对现金与帐目，发现现金的金额不符，做到及时汇报，及时处理。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成功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出纳会计年终述职报告篇2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2024-10-03T00:31:18+08:00</dcterms:created>
  <dcterms:modified xsi:type="dcterms:W3CDTF">2024-10-03T00:31:18+08:00</dcterms:modified>
</cp:coreProperties>
</file>

<file path=docProps/custom.xml><?xml version="1.0" encoding="utf-8"?>
<Properties xmlns="http://schemas.openxmlformats.org/officeDocument/2006/custom-properties" xmlns:vt="http://schemas.openxmlformats.org/officeDocument/2006/docPropsVTypes"/>
</file>