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2024学校党委党建工作总结【六篇】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以下是为大家整理的关于2024学校党委党建工作总结的...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以下是为大家整理的关于2024学校党委党建工作总结的文章6篇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2024学校党委党建工作总结篇1</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2024学校党委党建工作总结篇2</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2024学校党委党建工作总结篇5</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2024年度党建工作总结如下：</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2024学校党委党建工作总结篇6</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