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乡村合力攻坚工作总结(实用4篇)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乡村合力攻坚工作总结1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乡村治理“积分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乡村合力攻坚工作总结1</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乡村合力攻坚工作总结2</w:t>
      </w:r>
    </w:p>
    <w:p>
      <w:pPr>
        <w:ind w:left="0" w:right="0" w:firstLine="560"/>
        <w:spacing w:before="450" w:after="450" w:line="312" w:lineRule="auto"/>
      </w:pPr>
      <w:r>
        <w:rPr>
          <w:rFonts w:ascii="宋体" w:hAnsi="宋体" w:eastAsia="宋体" w:cs="宋体"/>
          <w:color w:val="000"/>
          <w:sz w:val="28"/>
          <w:szCs w:val="28"/>
        </w:rPr>
        <w:t xml:space="preserve">五中全会乡村振兴心得体会中国_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乡村合力攻坚工作总结3</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2024-10-06T06:57:57+08:00</dcterms:created>
  <dcterms:modified xsi:type="dcterms:W3CDTF">2024-10-06T06:57:57+08:00</dcterms:modified>
</cp:coreProperties>
</file>

<file path=docProps/custom.xml><?xml version="1.0" encoding="utf-8"?>
<Properties xmlns="http://schemas.openxmlformats.org/officeDocument/2006/custom-properties" xmlns:vt="http://schemas.openxmlformats.org/officeDocument/2006/docPropsVTypes"/>
</file>