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医保社保收缴工作总结汇报(7篇)</w:t>
      </w:r>
      <w:bookmarkEnd w:id="1"/>
    </w:p>
    <w:p>
      <w:pPr>
        <w:jc w:val="center"/>
        <w:spacing w:before="0" w:after="450"/>
      </w:pPr>
      <w:r>
        <w:rPr>
          <w:rFonts w:ascii="Arial" w:hAnsi="Arial" w:eastAsia="Arial" w:cs="Arial"/>
          <w:color w:val="999999"/>
          <w:sz w:val="20"/>
          <w:szCs w:val="20"/>
        </w:rPr>
        <w:t xml:space="preserve">来源：网友投稿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一、不断学习政治理论和新的教学理念。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就是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二、模范遵守《中小学教师职业道德规范》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对于教师来说就是站在最前沿的我们传授的就是“科学”知识。那么我就懂得什么是科学的什么是不科学的，实践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三、教师要不断的学习和提高自己。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来提高自己的业务水*。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的信念，明确努力学习提高的方向，感受到时代和社会赋予我们的重任。我们要紧紧抓住和充分用好这一难得机遇，在更高层次上进一步*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党委、政府的高度重视和统一领导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 687人，任务是250人,完成全年目标任务 %。净增缴费人数任务 175人，完成了604 人，完成了任务的 %。（全镇参保人数6000人左右，其中在职职工3000人左右。退休人员300人左右。）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宋体" w:hAnsi="宋体" w:eastAsia="宋体" w:cs="宋体"/>
          <w:color w:val="000"/>
          <w:sz w:val="28"/>
          <w:szCs w:val="28"/>
        </w:rPr>
        <w:t xml:space="preserve">一是重点做好劳动用工书面审查。到4月份，完成劳动用工书面审查165个，占计划数的104%。二是处理劳动争议及时快捷。今年已处理各类劳动争议49 起。其中工资纠纷42起，工伤纠纷 7 起。涉及资金总额万元左右，其中为职工追回工资 万元左右；工伤赔偿金 万元左右。</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 736 人；劳动保障事务代理 294 人；到目前办理事务代理人达到 1620 人，享受老年农民补贴 5109 人；应交农民4900人，完成农保收费 万元；办理《就业困难人员认定》157人。办理退工 336 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政策。劳动保障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公安等部门深入企业，一是广泛宣传《劳动法》、《劳动合同法》、《建设领域农民工工资支付暂行规定》等法律法规，提高用人单位和农民工的法制意识，营造依法规范用工和维权的社会氛围。二是会同有关部门成立专项检查活动领导协调小组，认真组织执法检查，建立健全解决拖欠农民工工资问题的相关工作机制，本部门准备指派一个专人负责此项工作，确保举报投诉渠道畅通，并对发现的问题及时进行调查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（4）、继续做好所内的一切保障事务代理及农保的日常结付工作。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2024-10-02T23:25:14+08:00</dcterms:created>
  <dcterms:modified xsi:type="dcterms:W3CDTF">2024-10-02T23:25:14+08:00</dcterms:modified>
</cp:coreProperties>
</file>

<file path=docProps/custom.xml><?xml version="1.0" encoding="utf-8"?>
<Properties xmlns="http://schemas.openxmlformats.org/officeDocument/2006/custom-properties" xmlns:vt="http://schemas.openxmlformats.org/officeDocument/2006/docPropsVTypes"/>
</file>