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2024年度党风廉政建设工作谈话汇报材料</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县委关于巡视整改落实情况报告省委巡视组在对我县工作进行了为期一个月的全面巡视后，在肯定我县经济社会发展工作的同时，中肯地指出了工作中存在的问题和不足，提出了3个方面9类问题的意见建议。县委对巡视组的反馈意见高度重视，专门召开会议进行研究讨论...</w:t>
      </w:r>
    </w:p>
    <w:p>
      <w:pPr>
        <w:ind w:left="0" w:right="0" w:firstLine="560"/>
        <w:spacing w:before="450" w:after="450" w:line="312" w:lineRule="auto"/>
      </w:pPr>
      <w:r>
        <w:rPr>
          <w:rFonts w:ascii="宋体" w:hAnsi="宋体" w:eastAsia="宋体" w:cs="宋体"/>
          <w:color w:val="000"/>
          <w:sz w:val="28"/>
          <w:szCs w:val="28"/>
        </w:rPr>
        <w:t xml:space="preserve">县委关于巡视整改落实情况报告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3个方面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第三次党代会“建设宜居宜业宜游的现代化区域中心城市”的精神，符合玉山县情，得到了全县上下的广泛认同，成为广大干部群众的共同认识，激发了60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大力整治干部队伍精神懈怠现象，切实转变干部作风。由县纪委、县委组织部、县公安局、县电视台组成联合督查组，通过明察暗访、赴乡镇“走读”督查等系列作风督查活动，先后查出1名科级领导干部和12名财政、供电等单位股级干部、村组干部上班期间打麻将、上下班迟到早退等情况;县纪委、县委组织部对违纪人员做出了严肃处理，共免职副科级干部1人，其他干部免职11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业化核心战略和大开放主战略，坚持以项目为依托，以招商引资为手段，以改善环境为支撑，加大对外开放步伐，推进全县三大支柱产业协调发展。2024年，实现生产总值82亿元，增长13.5%;财政总收入完成10.1亿元，增长29.98%，其中一般预算收入完成7.22亿元，增长37.88%;全社会固定资产投资55亿元，增长35.2 %;城乡居民储蓄存款64亿元，增长17.95 %;社会消费品零售总额32.6亿元，增长19.7%;城镇居民人均可支配收入15102元，增长12%;农民人均纯收入6912元，增长15.02%;工业园区主营业务收入145亿，增长43.6%;规模以上工业增加值32.6亿，增长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11.8平方公里扩展到30平方公里。大力度推进园区建设，全年拓园1.23平方公里，新征土地1850亩;园区土地清理收回土地700多亩，追缴相关费用7000多万。大力推进重大项目建设，对所有入园项目实行严格的联审制度，规定新入园企业必须固定资产投资达5000万元以上、亩均固投达80万元、亩年均纳税达8万元以上。创新招商方式，选派了16名乡镇正职到温州挂职招商，招商引资工作不断升温。共签约5000万元以上项目31个，其中亿元项目7个，合同利用县外资金30亿元。其中浙江致远集团投资12.8亿元兴建的年产10万吨电解铜项目和浙江聚美高分子材料公司投资8亿元兴建的年产5万吨压克力生产线项目，建成达产达标后年可实现主营业务收入70多亿元，上交税收6亿元以上。这些项目的建成，可为明年我县的经济发展积蓄强有力的后劲。培育壮大三大支柱产业。换届以来，我们在新型建材、有色金属、机电汽配支柱产业上下苦功。大力调整新型建材产业结构，成功引进大型国企—中国建材南方水泥、江西省碳酸钙行业龙头—炜达轻钙厂和水泥深加工企业跃达新型建材等10多家大型建材企业，提高产业市场竞争力。积极鼓励做大做强机电汽配产业，成功引进了投资达20亿元年产1000万只汽车轮毂和2024万只摩托车轮毂的昂大项目。同时，传统轴承产业也焕发青春。2024年，全县轴承产业产量、税利总额分别占全省总量的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年，我县新型建材、机电汽配、有色金属三大支柱产业呈现出强劲的发展态势。全年有色金属实现主营业务收入59.49亿元，增长81.96%;新型建材产业实现主营业务收入28.64亿元，增长42.8%;机电汽配产业实现主营业务收入5.77亿元，增长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年开工建设31家企业中有9家是“当年建设，当年完工，当年投产”，园区投资环境美誉度明显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2024-10-04T08:20:02+08:00</dcterms:created>
  <dcterms:modified xsi:type="dcterms:W3CDTF">2024-10-04T08:20:02+08:00</dcterms:modified>
</cp:coreProperties>
</file>

<file path=docProps/custom.xml><?xml version="1.0" encoding="utf-8"?>
<Properties xmlns="http://schemas.openxmlformats.org/officeDocument/2006/custom-properties" xmlns:vt="http://schemas.openxmlformats.org/officeDocument/2006/docPropsVTypes"/>
</file>