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对2024年上半年国际经济环境的初步分析报告</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以下为论文网为您编辑的：“对2024年上半年国际经济环境的初步分析报告”，敬请关注!!对2024年上半年国际经济环境的初步分析报告 一、上半年国际经济环境的主要特点（一）全球经济和通胀“北冷南热”（二）主权债务危机旧疾复发（三）大宗商品价格...</w:t>
      </w:r>
    </w:p>
    <w:p>
      <w:pPr>
        <w:ind w:left="0" w:right="0" w:firstLine="560"/>
        <w:spacing w:before="450" w:after="450" w:line="312" w:lineRule="auto"/>
      </w:pPr>
      <w:r>
        <w:rPr>
          <w:rFonts w:ascii="宋体" w:hAnsi="宋体" w:eastAsia="宋体" w:cs="宋体"/>
          <w:color w:val="000"/>
          <w:sz w:val="28"/>
          <w:szCs w:val="28"/>
        </w:rPr>
        <w:t xml:space="preserve">以下为论文网为您编辑的：“对2024年上半年国际经济环境的初步分析报告”，敬请关注!!</w:t>
      </w:r>
    </w:p>
    <w:p>
      <w:pPr>
        <w:ind w:left="0" w:right="0" w:firstLine="560"/>
        <w:spacing w:before="450" w:after="450" w:line="312" w:lineRule="auto"/>
      </w:pPr>
      <w:r>
        <w:rPr>
          <w:rFonts w:ascii="宋体" w:hAnsi="宋体" w:eastAsia="宋体" w:cs="宋体"/>
          <w:color w:val="000"/>
          <w:sz w:val="28"/>
          <w:szCs w:val="28"/>
        </w:rPr>
        <w:t xml:space="preserve">对2024年上半年国际经济环境的初步分析报告</w:t>
      </w:r>
    </w:p>
    <w:p>
      <w:pPr>
        <w:ind w:left="0" w:right="0" w:firstLine="560"/>
        <w:spacing w:before="450" w:after="450" w:line="312" w:lineRule="auto"/>
      </w:pPr>
      <w:r>
        <w:rPr>
          <w:rFonts w:ascii="宋体" w:hAnsi="宋体" w:eastAsia="宋体" w:cs="宋体"/>
          <w:color w:val="000"/>
          <w:sz w:val="28"/>
          <w:szCs w:val="28"/>
        </w:rPr>
        <w:t xml:space="preserve">一、上半年国际经济环境的主要特点</w:t>
      </w:r>
    </w:p>
    <w:p>
      <w:pPr>
        <w:ind w:left="0" w:right="0" w:firstLine="560"/>
        <w:spacing w:before="450" w:after="450" w:line="312" w:lineRule="auto"/>
      </w:pPr>
      <w:r>
        <w:rPr>
          <w:rFonts w:ascii="宋体" w:hAnsi="宋体" w:eastAsia="宋体" w:cs="宋体"/>
          <w:color w:val="000"/>
          <w:sz w:val="28"/>
          <w:szCs w:val="28"/>
        </w:rPr>
        <w:t xml:space="preserve">（一）全球经济和通胀“北冷南热”</w:t>
      </w:r>
    </w:p>
    <w:p>
      <w:pPr>
        <w:ind w:left="0" w:right="0" w:firstLine="560"/>
        <w:spacing w:before="450" w:after="450" w:line="312" w:lineRule="auto"/>
      </w:pPr>
      <w:r>
        <w:rPr>
          <w:rFonts w:ascii="宋体" w:hAnsi="宋体" w:eastAsia="宋体" w:cs="宋体"/>
          <w:color w:val="000"/>
          <w:sz w:val="28"/>
          <w:szCs w:val="28"/>
        </w:rPr>
        <w:t xml:space="preserve">（二）主权债务危机旧疾复发</w:t>
      </w:r>
    </w:p>
    <w:p>
      <w:pPr>
        <w:ind w:left="0" w:right="0" w:firstLine="560"/>
        <w:spacing w:before="450" w:after="450" w:line="312" w:lineRule="auto"/>
      </w:pPr>
      <w:r>
        <w:rPr>
          <w:rFonts w:ascii="宋体" w:hAnsi="宋体" w:eastAsia="宋体" w:cs="宋体"/>
          <w:color w:val="000"/>
          <w:sz w:val="28"/>
          <w:szCs w:val="28"/>
        </w:rPr>
        <w:t xml:space="preserve">（三）大宗商品价格高位震荡</w:t>
      </w:r>
    </w:p>
    <w:p>
      <w:pPr>
        <w:ind w:left="0" w:right="0" w:firstLine="560"/>
        <w:spacing w:before="450" w:after="450" w:line="312" w:lineRule="auto"/>
      </w:pPr>
      <w:r>
        <w:rPr>
          <w:rFonts w:ascii="宋体" w:hAnsi="宋体" w:eastAsia="宋体" w:cs="宋体"/>
          <w:color w:val="000"/>
          <w:sz w:val="28"/>
          <w:szCs w:val="28"/>
        </w:rPr>
        <w:t xml:space="preserve">（四）世界金融市场波动加剧</w:t>
      </w:r>
    </w:p>
    <w:p>
      <w:pPr>
        <w:ind w:left="0" w:right="0" w:firstLine="560"/>
        <w:spacing w:before="450" w:after="450" w:line="312" w:lineRule="auto"/>
      </w:pPr>
      <w:r>
        <w:rPr>
          <w:rFonts w:ascii="宋体" w:hAnsi="宋体" w:eastAsia="宋体" w:cs="宋体"/>
          <w:color w:val="000"/>
          <w:sz w:val="28"/>
          <w:szCs w:val="28"/>
        </w:rPr>
        <w:t xml:space="preserve">（五）各国间宏观政策分歧增大</w:t>
      </w:r>
    </w:p>
    <w:p>
      <w:pPr>
        <w:ind w:left="0" w:right="0" w:firstLine="560"/>
        <w:spacing w:before="450" w:after="450" w:line="312" w:lineRule="auto"/>
      </w:pPr>
      <w:r>
        <w:rPr>
          <w:rFonts w:ascii="宋体" w:hAnsi="宋体" w:eastAsia="宋体" w:cs="宋体"/>
          <w:color w:val="000"/>
          <w:sz w:val="28"/>
          <w:szCs w:val="28"/>
        </w:rPr>
        <w:t xml:space="preserve">（六）突发事件频发影响复苏进程</w:t>
      </w:r>
    </w:p>
    <w:p>
      <w:pPr>
        <w:ind w:left="0" w:right="0" w:firstLine="560"/>
        <w:spacing w:before="450" w:after="450" w:line="312" w:lineRule="auto"/>
      </w:pPr>
      <w:r>
        <w:rPr>
          <w:rFonts w:ascii="宋体" w:hAnsi="宋体" w:eastAsia="宋体" w:cs="宋体"/>
          <w:color w:val="000"/>
          <w:sz w:val="28"/>
          <w:szCs w:val="28"/>
        </w:rPr>
        <w:t xml:space="preserve">今年以来，西亚北非政局动荡、日本地核危机爆发、“基地”组织头目更迭、国际货币基金组织（IMF）总裁被捕和欧洲大肠杆菌疫情蔓延等突发事件的到来，从不同层面对世界经济运行产生了重大冲击和影响。主要表现是：西亚北非政局动荡与日本地核危机导致全球能源开发与利用格局发生变化，加剧了金融和商品市场波动；IMF总裁被捕和德国疫情阻滞了IMF和欧盟对主权债务危机的处理进程，恶化了德国与欧盟小国间的经贸关系；拉登死后美国军事战略重心出现从西亚向东南亚转移的迹象，导致全球对东南亚经济增长会否受到影响产生忧虑。此外，各国自然灾害持续多发重发等问题，也为国际经济环境增添了新的不确定和不稳定因素。</w:t>
      </w:r>
    </w:p>
    <w:p>
      <w:pPr>
        <w:ind w:left="0" w:right="0" w:firstLine="560"/>
        <w:spacing w:before="450" w:after="450" w:line="312" w:lineRule="auto"/>
      </w:pPr>
      <w:r>
        <w:rPr>
          <w:rFonts w:ascii="宋体" w:hAnsi="宋体" w:eastAsia="宋体" w:cs="宋体"/>
          <w:color w:val="000"/>
          <w:sz w:val="28"/>
          <w:szCs w:val="28"/>
        </w:rPr>
        <w:t xml:space="preserve">二、下半年国际经济环境展望</w:t>
      </w:r>
    </w:p>
    <w:p>
      <w:pPr>
        <w:ind w:left="0" w:right="0" w:firstLine="560"/>
        <w:spacing w:before="450" w:after="450" w:line="312" w:lineRule="auto"/>
      </w:pPr>
      <w:r>
        <w:rPr>
          <w:rFonts w:ascii="宋体" w:hAnsi="宋体" w:eastAsia="宋体" w:cs="宋体"/>
          <w:color w:val="000"/>
          <w:sz w:val="28"/>
          <w:szCs w:val="28"/>
        </w:rPr>
        <w:t xml:space="preserve">“一大不确定性”是，美国宏观政策取向的不确定性。一是关于美国债务规模调整的问题。国际信用评级机构惠誉警告称，如果美国国会未能在8月2日前提高联邦政府的债务上限，美国的主权债务信用评级将被列入负面观察名单。如果美国政府无法支付8月15日到期的票面利息，美国信用评级将被列入“有限违约”等级。为避免国家信誉受损，美国迟早要调高债务规模。但是，如果过度调高债务上限，会增加美国国债的外销压力，引起美元贬值和通胀加剧。如果调整不到位，又不足以应付美国政府开支，可能导致美国经济增长进一步放缓。二是美国宽松货币政策的前景问题。尽管在美联储6月份议息结果中“第三轮量化宽松”暂时不在计划内，但美联储主席伯南克也表示，“经济疲弱的深化可能改变美联储的想法”，这让各界对美国会否变相实施新的量化宽松政策争议很大，同时也加重了美元和大宗商品走势的不确定性。</w:t>
      </w:r>
    </w:p>
    <w:p>
      <w:pPr>
        <w:ind w:left="0" w:right="0" w:firstLine="560"/>
        <w:spacing w:before="450" w:after="450" w:line="312" w:lineRule="auto"/>
      </w:pPr>
      <w:r>
        <w:rPr>
          <w:rFonts w:ascii="宋体" w:hAnsi="宋体" w:eastAsia="宋体" w:cs="宋体"/>
          <w:color w:val="000"/>
          <w:sz w:val="28"/>
          <w:szCs w:val="28"/>
        </w:rPr>
        <w:t xml:space="preserve">下半年国际经济环境变化对我国发展带来的不利影响主要是：国际市场大宗商品价格高位震荡增大我国内输入型通胀压力，欧债危机延续导致我国购入欧债的收益变化，美日经济增长放缓对我国扩大外需与人民币升值同时造成压力。</w:t>
      </w:r>
    </w:p>
    <w:p>
      <w:pPr>
        <w:ind w:left="0" w:right="0" w:firstLine="560"/>
        <w:spacing w:before="450" w:after="450" w:line="312" w:lineRule="auto"/>
      </w:pPr>
      <w:r>
        <w:rPr>
          <w:rFonts w:ascii="宋体" w:hAnsi="宋体" w:eastAsia="宋体" w:cs="宋体"/>
          <w:color w:val="000"/>
          <w:sz w:val="28"/>
          <w:szCs w:val="28"/>
        </w:rPr>
        <w:t xml:space="preserve">与此同时，我国也面临着一些新的发展机遇。第一，欧债危机为我国通过援助欧洲获取更大国际影响力和更多经济利益创造了条件。第二，日本地核危机为我国通过援助日本争取先进产业、技术与人才的转移创造了条件。第三，美欧在北非的军事行动对俄罗斯的传统地缘利益造成威胁，将促使上海合作组织成员主动与我国加强经贸合作。第四，在世界经济缓慢曲折复苏进程中，我国企业“走出去”也存在可以利用的机会。</w:t>
      </w:r>
    </w:p>
    <w:p>
      <w:pPr>
        <w:ind w:left="0" w:right="0" w:firstLine="560"/>
        <w:spacing w:before="450" w:after="450" w:line="312" w:lineRule="auto"/>
      </w:pPr>
      <w:r>
        <w:rPr>
          <w:rFonts w:ascii="宋体" w:hAnsi="宋体" w:eastAsia="宋体" w:cs="宋体"/>
          <w:color w:val="000"/>
          <w:sz w:val="28"/>
          <w:szCs w:val="28"/>
        </w:rPr>
        <w:t xml:space="preserve">三、把握机遇、应对风险，在复杂的国际经济环境中保持国内经济平稳较快发展</w:t>
      </w:r>
    </w:p>
    <w:p>
      <w:pPr>
        <w:ind w:left="0" w:right="0" w:firstLine="560"/>
        <w:spacing w:before="450" w:after="450" w:line="312" w:lineRule="auto"/>
      </w:pPr>
      <w:r>
        <w:rPr>
          <w:rFonts w:ascii="宋体" w:hAnsi="宋体" w:eastAsia="宋体" w:cs="宋体"/>
          <w:color w:val="000"/>
          <w:sz w:val="28"/>
          <w:szCs w:val="28"/>
        </w:rPr>
        <w:t xml:space="preserve">针对我国发展外部环境的新变化和可能的影响，我们要把短期调控政策和长期发展政策有机结合起来，从变化的形势中捕捉和用好发展机遇，在激烈的国际竞争中防范和化解风险，牢牢掌握经济工作的主动权。</w:t>
      </w:r>
    </w:p>
    <w:p>
      <w:pPr>
        <w:ind w:left="0" w:right="0" w:firstLine="560"/>
        <w:spacing w:before="450" w:after="450" w:line="312" w:lineRule="auto"/>
      </w:pPr>
      <w:r>
        <w:rPr>
          <w:rFonts w:ascii="宋体" w:hAnsi="宋体" w:eastAsia="宋体" w:cs="宋体"/>
          <w:color w:val="000"/>
          <w:sz w:val="28"/>
          <w:szCs w:val="28"/>
        </w:rPr>
        <w:t xml:space="preserve">第一，未雨绸缪，做好应对各种风险的预案。在保持宏观经济政策连续性和稳定性的前提下，进一步增强前瞻性、针对性和灵活性。一方面，要针对国际做好“沙盘推演”，提前准备好各种调控预案，特别是对我不利情况下的宏观调控预案，比如美国一旦再次推出量化宽松政策后我国宏观政策的相应调整，以及认真研究反制欧、美、日以债务危机恶化为借口“赖账”的措施。另一方面，要根据国内地区发展差异大、经济基础不平衡的现实，研究制定差别化的调控政策，坚持区别对待，有促有控，促进重点行业和欠发达地区加快结构调整和高质量、高效益地发展。</w:t>
      </w:r>
    </w:p>
    <w:p>
      <w:pPr>
        <w:ind w:left="0" w:right="0" w:firstLine="560"/>
        <w:spacing w:before="450" w:after="450" w:line="312" w:lineRule="auto"/>
      </w:pPr>
      <w:r>
        <w:rPr>
          <w:rFonts w:ascii="宋体" w:hAnsi="宋体" w:eastAsia="宋体" w:cs="宋体"/>
          <w:color w:val="000"/>
          <w:sz w:val="28"/>
          <w:szCs w:val="28"/>
        </w:rPr>
        <w:t xml:space="preserve">第二，加强防范，抑制输入型通胀的冲击。夏粮再获好收成，为我国控制全年粮价上涨奠定了良好基础。但是，其他初级产品国际价格的高企以及全球航运价格的回升仍会对我国物价调控增加难度。为此，我们应沉着应对，综合施策。建议抓住6月底美国开始释放原油战略储备短期冲击油价，以及与上海合作组织成员签订合作条约的有利时机，积极扩大石油、粮食和其他战略性物资的进口；继续限制“两高一资”产品出口，搞好煤、电、油、气、运等生产要素的供需衔接，毫不放松地推进节能减排工作；运用关税、汇率杠杆，减轻能源资源和重要商品进口企业的税赋，降低经营成本；强化对市场价格特别是与人民群众生活密切相关的商品价格的监管，正确引导社会舆论，避免在外部因素诱使下投机分子借题炒作食盐等类似事件的发生。</w:t>
      </w:r>
    </w:p>
    <w:p>
      <w:pPr>
        <w:ind w:left="0" w:right="0" w:firstLine="560"/>
        <w:spacing w:before="450" w:after="450" w:line="312" w:lineRule="auto"/>
      </w:pPr>
      <w:r>
        <w:rPr>
          <w:rFonts w:ascii="宋体" w:hAnsi="宋体" w:eastAsia="宋体" w:cs="宋体"/>
          <w:color w:val="000"/>
          <w:sz w:val="28"/>
          <w:szCs w:val="28"/>
        </w:rPr>
        <w:t xml:space="preserve">第三，多措并举，保持国内金融市场平稳运行。在我国国内金融市场与世界金融市场联系日益紧密的背景下，下半年世界金融市场的动荡也会对我国金融市场带来冲击。为此，一是要稳定市场预期，在坚持房地产调控政策不动摇的同时及时出台有利于股市健康稳定发展的政策措施。二是要加强资本项目管制，特别是防控短期投机资本急速流出和流入导致国内股市、房市的大起大落。三是要在稳步推进人民币国际化步伐的同时尝试扩大人民币对美元的日波动区间，降低市场对人民币单边升值的预期。</w:t>
      </w:r>
    </w:p>
    <w:p>
      <w:pPr>
        <w:ind w:left="0" w:right="0" w:firstLine="560"/>
        <w:spacing w:before="450" w:after="450" w:line="312" w:lineRule="auto"/>
      </w:pPr>
      <w:r>
        <w:rPr>
          <w:rFonts w:ascii="宋体" w:hAnsi="宋体" w:eastAsia="宋体" w:cs="宋体"/>
          <w:color w:val="000"/>
          <w:sz w:val="28"/>
          <w:szCs w:val="28"/>
        </w:rPr>
        <w:t xml:space="preserve">第四，把握机遇，推动“引进来”和“走出去”迈出新步伐。一方面，要加强对外资的引导，优化利用外资结构。积极用好国外优惠贷款支持欠发达地区改善投资环境，通过修订完善投资产业指导目录等方式，引导外资投向中西部地区和东北地区等老工业基地。另一方面，以西亚、北非地区的政局动荡为鉴，以地缘政治利益为基础，对我国境外投资的风险加强监测预警，利用各种外交手段强化对我境外投资权益的保护，以能源、矿产开发利用和主要农产品生产等为重点，加强对上合组织成员的境外投资，指导企业通过合理扩张规模和优化投资组合等举措降低经营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2024-10-06T03:45:50+08:00</dcterms:created>
  <dcterms:modified xsi:type="dcterms:W3CDTF">2024-10-06T03:45:50+08:00</dcterms:modified>
</cp:coreProperties>
</file>

<file path=docProps/custom.xml><?xml version="1.0" encoding="utf-8"?>
<Properties xmlns="http://schemas.openxmlformats.org/officeDocument/2006/custom-properties" xmlns:vt="http://schemas.openxmlformats.org/officeDocument/2006/docPropsVTypes"/>
</file>