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档案室述职报告篇一时光飞逝，蓦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档案室述职报告篇一</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名师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档案教师述职报告篇4[_TAG_h3]档案室述职报告篇二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宋体" w:hAnsi="宋体" w:eastAsia="宋体" w:cs="宋体"/>
          <w:color w:val="000"/>
          <w:sz w:val="28"/>
          <w:szCs w:val="28"/>
        </w:rPr>
        <w:t xml:space="preserve">档案教师述职报告篇2[_TAG_h3]档案室述职报告篇三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档案教师述职报告篇3[_TAG_h3]档案室述职报告篇四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档案教师述职报告篇5[_TAG_h3]档案室述职报告篇五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本教材运用多媒体教学，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__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2024-10-06T04:03:23+08:00</dcterms:created>
  <dcterms:modified xsi:type="dcterms:W3CDTF">2024-10-06T04:03:23+08:00</dcterms:modified>
</cp:coreProperties>
</file>

<file path=docProps/custom.xml><?xml version="1.0" encoding="utf-8"?>
<Properties xmlns="http://schemas.openxmlformats.org/officeDocument/2006/custom-properties" xmlns:vt="http://schemas.openxmlformats.org/officeDocument/2006/docPropsVTypes"/>
</file>