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最新行政单位会计述职报告(三篇)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行政单位会计述职报告篇一一、强化形象，提高自身素质工作中我坚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行政单位会计述职报告篇一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4"/>
          <w:szCs w:val="34"/>
          <w:b w:val="1"/>
          <w:bCs w:val="1"/>
        </w:rPr>
        <w:t xml:space="preserve">行政单位会计述职报告篇二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 09年盘点差异现正在处理，现金、应收、应付帐后期才能开始实施。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2024行政会计述职报告篇2[_TAG_h3]行政单位会计述职报告篇三</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2024-10-06T02:36:24+08:00</dcterms:created>
  <dcterms:modified xsi:type="dcterms:W3CDTF">2024-10-06T02:36:24+08:00</dcterms:modified>
</cp:coreProperties>
</file>

<file path=docProps/custom.xml><?xml version="1.0" encoding="utf-8"?>
<Properties xmlns="http://schemas.openxmlformats.org/officeDocument/2006/custom-properties" xmlns:vt="http://schemas.openxmlformats.org/officeDocument/2006/docPropsVTypes"/>
</file>