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2024年行政办公室行政工作计划</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