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最新评估报告怎么做(四篇)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评估报告怎么做篇一(一)加强领导，形成齐抓共管工作合力。全公司各级党组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评估报告怎么做篇一</w:t>
      </w:r>
    </w:p>
    <w:p>
      <w:pPr>
        <w:ind w:left="0" w:right="0" w:firstLine="560"/>
        <w:spacing w:before="450" w:after="450" w:line="312" w:lineRule="auto"/>
      </w:pPr>
      <w:r>
        <w:rPr>
          <w:rFonts w:ascii="宋体" w:hAnsi="宋体" w:eastAsia="宋体" w:cs="宋体"/>
          <w:color w:val="000"/>
          <w:sz w:val="28"/>
          <w:szCs w:val="28"/>
        </w:rPr>
        <w:t xml:space="preserve">(一)加强领导，形成齐抓共管工作合力。全公司各级党组织把党员教育培训作为加强党的执政能力建设、先进性和纯洁性建设和学习型、服务型、创新型党组织建设的重要任务，认真研究部署，全力抓好落实。公司党委成立了党员教育培训工作领导小组，形成了党委统一领导、党办牵头抓总、各级党组织分工负责的党员教育培训工作机制。建立了党员教育培训工作联席会议制度，领导小组每季度开一次碰头会、每半年开一次工作汇报会、每年召开一次工作协调会，集中解决党员教育培训中出现的各种问题，研究部署下一阶段党员教育培训工作。对基层党组织落实党员培训情况进行督查指导，真正形成了分级负责、齐抓共管的强大合力。基层党组织认真履行工作职责，逐级成立组织机构，制定教育培训计划，深入开展学习型党组织创建活动，切实抓好抓实党员日常教育，使党员教育培训工作制度化、规范化、常态化。</w:t>
      </w:r>
    </w:p>
    <w:p>
      <w:pPr>
        <w:ind w:left="0" w:right="0" w:firstLine="560"/>
        <w:spacing w:before="450" w:after="450" w:line="312" w:lineRule="auto"/>
      </w:pPr>
      <w:r>
        <w:rPr>
          <w:rFonts w:ascii="宋体" w:hAnsi="宋体" w:eastAsia="宋体" w:cs="宋体"/>
          <w:color w:val="000"/>
          <w:sz w:val="28"/>
          <w:szCs w:val="28"/>
        </w:rPr>
        <w:t xml:space="preserve">(二)狠抓落实，夯实党员教育培训基础。在党员教育培训工作中，我们着重狠抓了四个落实:一是落实培训计划。每年年初，公司党委组织人员深入基层对党员教育培训情况进行深入调研，摸清了基层党员教育培训情况，结合调研情况有针对性制定多年全公司党员培训工作计划。对培训的任务、目的、方式、内容及组织领导等作出了具体的要求和安排。特别是对基层党组织的“三会一课”的主要内容、操作程序和有关要求进行了进一步的规范和细化，使之一目了然，便于基层党组织照章行事。二是落实培训职责。我们对培训职责进行了明确。公司党办负责制定全公司党员教育培训的规划、指导督促和检查;基层党组织具体负责实施。三是落实培训资金。为了保证党员培训工作的顺利进行，资金从党费专户列支，确保党员培训经费足额，保证了培训工作的有效开展。四是落实培训任务。把党员培训工作纳入基层党组织工作要点，作为党建工作年度目标考评内容，定期检查。各基层党组织也把培训任务和内容落实到人，制定了培训责任目标，把培训日程安排细化到天，保证培训任务的顺利完成。</w:t>
      </w:r>
    </w:p>
    <w:p>
      <w:pPr>
        <w:ind w:left="0" w:right="0" w:firstLine="560"/>
        <w:spacing w:before="450" w:after="450" w:line="312" w:lineRule="auto"/>
      </w:pPr>
      <w:r>
        <w:rPr>
          <w:rFonts w:ascii="宋体" w:hAnsi="宋体" w:eastAsia="宋体" w:cs="宋体"/>
          <w:color w:val="000"/>
          <w:sz w:val="28"/>
          <w:szCs w:val="28"/>
        </w:rPr>
        <w:t xml:space="preserve">(三)强化措施，拓宽党员教育培训途径。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方面基本任务，把党性教育和理想信念教育贯穿始终，坚持集体培训与个人自学相结合、辅导培训与座谈交流相结合、理论教育与实践锻炼相结合、“走出去”学习与“请进来”授业相结合，不断把教育培训工作引向深入。各级党组织切实用好“共产党员”教育平台、“学习强国”学习平台等载体，通过理论学习中心组学习、“三会一课”、主题党日等，抓实集体学习。党员领导干部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党员佩戴党徽上岗，设立党员、劳模创新工作室及示范岗、责任区，争创先锋班组和创新班组，举办岗位练兵、技术比武、导师带徒、献计献策等活动，引导党员立足岗位、创先争优。鼓励和引导党员参与结对帮扶、志愿服务等，为党员搭建实践锻炼平台。</w:t>
      </w:r>
    </w:p>
    <w:p>
      <w:pPr>
        <w:ind w:left="0" w:right="0" w:firstLine="560"/>
        <w:spacing w:before="450" w:after="450" w:line="312" w:lineRule="auto"/>
      </w:pPr>
      <w:r>
        <w:rPr>
          <w:rFonts w:ascii="宋体" w:hAnsi="宋体" w:eastAsia="宋体" w:cs="宋体"/>
          <w:color w:val="000"/>
          <w:sz w:val="28"/>
          <w:szCs w:val="28"/>
        </w:rPr>
        <w:t xml:space="preserve">(四)完善制度，健全党员教育培训机制。健全领导协调机制。公司党委会定期研究部署党员教育培训工作，要求党员教育联系会议成员单位定期沟通情况，协调制定培训计划，解决突出问题，做到统筹规划、上下联动、综合管理。健全党员教育管理责任制。公司党办履行牵头抓总职责，通过深入基层督查指导，及时掌握了解党员教育培训情况，督促基层认真落实党组织生活、党员目标管理、民主评议党员、创先争优等党员教育管理制度，不断拓宽教育培训渠道，切实做到常抓不懈、持之以恒，避免时紧时松现象。</w:t>
      </w:r>
    </w:p>
    <w:p>
      <w:pPr>
        <w:ind w:left="0" w:right="0" w:firstLine="560"/>
        <w:spacing w:before="450" w:after="450" w:line="312" w:lineRule="auto"/>
      </w:pPr>
      <w:r>
        <w:rPr>
          <w:rFonts w:ascii="宋体" w:hAnsi="宋体" w:eastAsia="宋体" w:cs="宋体"/>
          <w:color w:val="000"/>
          <w:sz w:val="28"/>
          <w:szCs w:val="28"/>
        </w:rPr>
        <w:t xml:space="preserve">当前我公司党员教育培训工作虽然取得了一定的成绩,但也存在着许多问题，其主要有：一是部分党员消极对待教育培训。由于是生产企业，平时职工上班实行倒班制，人员少，加上生产任务紧，相对比较辛苦，个别党员教育培训积极性不高。二是培训规模不大。组织开展党员培训方式还比较简单，以会代训多，通过邀请专家讲座、组织外出参观考察、举办短期培训班等方式进行培训次数较少，且规模不大。党员干部远程教育平台没有充分利用起来。三是培训内容安排不科学。在培训内容的安排上还缺乏系统性、科学性。传统内容多，对新技术、新政策研究不深、不透，缺乏时代性与实用性。</w:t>
      </w:r>
    </w:p>
    <w:p>
      <w:pPr>
        <w:ind w:left="0" w:right="0" w:firstLine="560"/>
        <w:spacing w:before="450" w:after="450" w:line="312" w:lineRule="auto"/>
      </w:pPr>
      <w:r>
        <w:rPr>
          <w:rFonts w:ascii="宋体" w:hAnsi="宋体" w:eastAsia="宋体" w:cs="宋体"/>
          <w:color w:val="000"/>
          <w:sz w:val="28"/>
          <w:szCs w:val="28"/>
        </w:rPr>
        <w:t xml:space="preserve">(一)加强领导，明确责任。一方面要明确各基础党组织领导责任。要根据上级部署，作出年度党员教育培训的计划，组织实施各项工作运行制度，做好组织指导和督促检查工作。另一方面是明确基层党组织直接责任。基层单位党组织要结合自身实际，负责具体安排落实，调动广大党员参与的积极性，扎实开展党员教育的各项活动，保证党员教育的质量和覆盖面。</w:t>
      </w:r>
    </w:p>
    <w:p>
      <w:pPr>
        <w:ind w:left="0" w:right="0" w:firstLine="560"/>
        <w:spacing w:before="450" w:after="450" w:line="312" w:lineRule="auto"/>
      </w:pPr>
      <w:r>
        <w:rPr>
          <w:rFonts w:ascii="宋体" w:hAnsi="宋体" w:eastAsia="宋体" w:cs="宋体"/>
          <w:color w:val="000"/>
          <w:sz w:val="28"/>
          <w:szCs w:val="28"/>
        </w:rPr>
        <w:t xml:space="preserve">(二)统筹兼顾，紧跟时代步伐。根据时代特点，把加强党性教育、政治理论指导与开展科技、经济、法律等教育相结合，把开展培训与解决党员生产生活实际问题相结合，使他们感受到党组织的温暖，增强干事创业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三)健全制度，形成长效机制。要健全党员日常管理机制。主动进入党员的各项社会活动之中，实施跟踪教育、管理与监督。要健全党员激励约束机制。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四)创新方法，切实增强实效。要采取科学、灵活、多样的教育培训形式，有效增强教育培训效果。充分利用和发挥远程教育快捷、方便、灵活、实用的优势，尽快让这一最新、最灵活、最便捷的教育方式为党员所接受。同时，通过立典型，树榜样，使广大党员在典型的带动下奋发工作，锐意进取。</w:t>
      </w:r>
    </w:p>
    <w:p>
      <w:pPr>
        <w:ind w:left="0" w:right="0" w:firstLine="560"/>
        <w:spacing w:before="450" w:after="450" w:line="312" w:lineRule="auto"/>
      </w:pPr>
      <w:r>
        <w:rPr>
          <w:rFonts w:ascii="宋体" w:hAnsi="宋体" w:eastAsia="宋体" w:cs="宋体"/>
          <w:color w:val="000"/>
          <w:sz w:val="28"/>
          <w:szCs w:val="28"/>
        </w:rPr>
        <w:t xml:space="preserve">(五)注重实效，加强学风建设。要认真落实党中央关于加强学风建设的要求，加强指导和监督，严肃工作纪律，力戒形式主义、官僚主义，防止教育培训表面化、程式化、庸俗化，防止学用脱节、空洞说教，防止不分层次对象“一刀切”、“一锅煮”，防止检查过多、过度留痕。</w:t>
      </w:r>
    </w:p>
    <w:p>
      <w:pPr>
        <w:ind w:left="0" w:right="0" w:firstLine="560"/>
        <w:spacing w:before="450" w:after="450" w:line="312" w:lineRule="auto"/>
      </w:pPr>
      <w:r>
        <w:rPr>
          <w:rFonts w:ascii="黑体" w:hAnsi="黑体" w:eastAsia="黑体" w:cs="黑体"/>
          <w:color w:val="000000"/>
          <w:sz w:val="34"/>
          <w:szCs w:val="34"/>
          <w:b w:val="1"/>
          <w:bCs w:val="1"/>
        </w:rPr>
        <w:t xml:space="preserve">评估报告怎么做篇二</w:t>
      </w:r>
    </w:p>
    <w:p>
      <w:pPr>
        <w:ind w:left="0" w:right="0" w:firstLine="560"/>
        <w:spacing w:before="450" w:after="450" w:line="312" w:lineRule="auto"/>
      </w:pPr>
      <w:r>
        <w:rPr>
          <w:rFonts w:ascii="宋体" w:hAnsi="宋体" w:eastAsia="宋体" w:cs="宋体"/>
          <w:color w:val="000"/>
          <w:sz w:val="28"/>
          <w:szCs w:val="28"/>
        </w:rPr>
        <w:t xml:space="preserve">为推动行业反洗钱工作经验交流，协会面向会员单位征集反洗钱实践案例，银行、保险、消费金融、第三方支付、金融科技等领域的会员积极投稿，较好反映了互联网金融领域反洗钱工作取得的新成果，为此协会汇编相关案例，形成系列专题陆续推出。</w:t>
      </w:r>
    </w:p>
    <w:p>
      <w:pPr>
        <w:ind w:left="0" w:right="0" w:firstLine="560"/>
        <w:spacing w:before="450" w:after="450" w:line="312" w:lineRule="auto"/>
      </w:pPr>
      <w:r>
        <w:rPr>
          <w:rFonts w:ascii="宋体" w:hAnsi="宋体" w:eastAsia="宋体" w:cs="宋体"/>
          <w:color w:val="000"/>
          <w:sz w:val="28"/>
          <w:szCs w:val="28"/>
        </w:rPr>
        <w:t xml:space="preserve">近年来，为适应国内外反洗钱和反恐怖融资日益严峻的形势，中国人民银行按照fatf组织反洗钱国际监管标准，逐年提升监管要求，将反洗钱监管要求从“规则为本”向“风险为本”逐步转变，并在反洗钱监督管理相关制度中，引导和鼓励金融机构提高反洗钱有效性和合规性。</w:t>
      </w:r>
    </w:p>
    <w:p>
      <w:pPr>
        <w:ind w:left="0" w:right="0" w:firstLine="560"/>
        <w:spacing w:before="450" w:after="450" w:line="312" w:lineRule="auto"/>
      </w:pPr>
      <w:r>
        <w:rPr>
          <w:rFonts w:ascii="宋体" w:hAnsi="宋体" w:eastAsia="宋体" w:cs="宋体"/>
          <w:color w:val="000"/>
          <w:sz w:val="28"/>
          <w:szCs w:val="28"/>
        </w:rPr>
        <w:t xml:space="preserve">度小满金融本着 “精于科技、值得信赖”的核心价值观，基于监管要求及围绕业务风险，以风险为导向，专注于智能决策和分析，结合多年服务金融客户服务的经验以及反洗钱的实践，不断完善风险管理机制及反洗钱监测系统。度小满金融指定法规内控部作为度小满金融层面反洗钱牵头管理部门，负责统筹度小满金融的反洗钱管理工作，并集中对交易进行监测分析，同时为有效履行反洗钱义务，按照风险为本的方法，采用各反洗钱义务主体分别建设反洗钱体系及风险管理策略的方式，对洗钱风险进行有效控制及全程管理，有效防范洗钱风险。</w:t>
      </w:r>
    </w:p>
    <w:p>
      <w:pPr>
        <w:ind w:left="0" w:right="0" w:firstLine="560"/>
        <w:spacing w:before="450" w:after="450" w:line="312" w:lineRule="auto"/>
      </w:pPr>
      <w:r>
        <w:rPr>
          <w:rFonts w:ascii="宋体" w:hAnsi="宋体" w:eastAsia="宋体" w:cs="宋体"/>
          <w:color w:val="000"/>
          <w:sz w:val="28"/>
          <w:szCs w:val="28"/>
        </w:rPr>
        <w:t xml:space="preserve">01风险管理架构</w:t>
      </w:r>
    </w:p>
    <w:p>
      <w:pPr>
        <w:ind w:left="0" w:right="0" w:firstLine="560"/>
        <w:spacing w:before="450" w:after="450" w:line="312" w:lineRule="auto"/>
      </w:pPr>
      <w:r>
        <w:rPr>
          <w:rFonts w:ascii="宋体" w:hAnsi="宋体" w:eastAsia="宋体" w:cs="宋体"/>
          <w:color w:val="000"/>
          <w:sz w:val="28"/>
          <w:szCs w:val="28"/>
        </w:rPr>
        <w:t xml:space="preserve">目前，度小满金融建立反洗钱集中共享中心，根据各个子公司的需求及度小满金融整体反洗钱发展策略、风险偏好，为各个业务板块提供集中的户风险等级划分、可疑交易监测、尽职调查等服务。各反洗钱义务主体则根据本机构业务的特性，合理规划本机构反洗钱工作的日常管理要求及需反洗钱集中共享中心提供的服务。通过集中共享中心的模式，理清风险管理条线与理财、信贷和支付不同业务板块所承担的不同的反洗钱职能边界。在满足监管合规要求的同时，这种模式具备可扩展性，能够快速适应未来度小满金融业务进一步扩展的情况。同时，各反洗钱义务主体在度小满金融的指导下，在管理层建立独立的反洗钱管理架构、风险管理政策和程序，使得反洗钱工作能够自上而下地有效开展。</w:t>
      </w:r>
    </w:p>
    <w:p>
      <w:pPr>
        <w:ind w:left="0" w:right="0" w:firstLine="560"/>
        <w:spacing w:before="450" w:after="450" w:line="312" w:lineRule="auto"/>
      </w:pPr>
      <w:r>
        <w:rPr>
          <w:rFonts w:ascii="宋体" w:hAnsi="宋体" w:eastAsia="宋体" w:cs="宋体"/>
          <w:color w:val="000"/>
          <w:sz w:val="28"/>
          <w:szCs w:val="28"/>
        </w:rPr>
        <w:t xml:space="preserve">02风险管理策略</w:t>
      </w:r>
    </w:p>
    <w:p>
      <w:pPr>
        <w:ind w:left="0" w:right="0" w:firstLine="560"/>
        <w:spacing w:before="450" w:after="450" w:line="312" w:lineRule="auto"/>
      </w:pPr>
      <w:r>
        <w:rPr>
          <w:rFonts w:ascii="宋体" w:hAnsi="宋体" w:eastAsia="宋体" w:cs="宋体"/>
          <w:color w:val="000"/>
          <w:sz w:val="28"/>
          <w:szCs w:val="28"/>
        </w:rPr>
        <w:t xml:space="preserve">根据《法人金融机构洗钱和恐怖融资风险管理指引(试行)》等文件要求，结合其他相关法律、法规和规范性文件，建立洗钱和恐怖融资风险管理策略。一是建立制度和机制。目前已制定《反洗钱反恐怖融资管理办法》及相关操作指引，内容涉及名单监控、可疑交易监测、客户身份识别和交易记录保存、客户风险分级管理及产品洗钱风险评估、奖惩措施及内部审计等，逐步建立规范完善的风险防控机制。二是制定风险防控策略。风险防控策略调整是一个长期过程，通过积极参加监管培训、学习行业最佳实践等方式，不断调整优化反洗钱方面的风险防控策略。三是搭建反洗钱系统。以风险为导向，金融科技为手段，从数据入手，建立涵盖客户身份、交易环境及风险状况的反洗钱监测分析系统。</w:t>
      </w:r>
    </w:p>
    <w:p>
      <w:pPr>
        <w:ind w:left="0" w:right="0" w:firstLine="560"/>
        <w:spacing w:before="450" w:after="450" w:line="312" w:lineRule="auto"/>
      </w:pPr>
      <w:r>
        <w:rPr>
          <w:rFonts w:ascii="宋体" w:hAnsi="宋体" w:eastAsia="宋体" w:cs="宋体"/>
          <w:color w:val="000"/>
          <w:sz w:val="28"/>
          <w:szCs w:val="28"/>
        </w:rPr>
        <w:t xml:space="preserve">03风险管理文化</w:t>
      </w:r>
    </w:p>
    <w:p>
      <w:pPr>
        <w:ind w:left="0" w:right="0" w:firstLine="560"/>
        <w:spacing w:before="450" w:after="450" w:line="312" w:lineRule="auto"/>
      </w:pPr>
      <w:r>
        <w:rPr>
          <w:rFonts w:ascii="宋体" w:hAnsi="宋体" w:eastAsia="宋体" w:cs="宋体"/>
          <w:color w:val="000"/>
          <w:sz w:val="28"/>
          <w:szCs w:val="28"/>
        </w:rPr>
        <w:t xml:space="preserve">全面推进洗钱风险管理文化建设工作，分主体、分层次定期开展洗钱风险管理文化的培训，促进全体员工树立洗钱风险管理意识，营造主动管理、合规经营的良好文化氛围。</w:t>
      </w:r>
    </w:p>
    <w:p>
      <w:pPr>
        <w:ind w:left="0" w:right="0" w:firstLine="560"/>
        <w:spacing w:before="450" w:after="450" w:line="312" w:lineRule="auto"/>
      </w:pPr>
      <w:r>
        <w:rPr>
          <w:rFonts w:ascii="宋体" w:hAnsi="宋体" w:eastAsia="宋体" w:cs="宋体"/>
          <w:color w:val="000"/>
          <w:sz w:val="28"/>
          <w:szCs w:val="28"/>
        </w:rPr>
        <w:t xml:space="preserve">度小满金融反洗钱系统，在满足合规的前提下，以风险为中心，结合移动支付业务的特点，充分利用大数据和机器学习来实现智能化反洗钱。在搭建好现有的支付业务的反洗钱模型之外，逐步覆盖信贷、保险、基金等业务，同时对相关领域上游洗钱行为进行摸排和挖掘，随时对于新型犯罪保持关注。职能反洗钱系统建设主要集中在可疑交易监测、客户风险评级、名单监控及客户身份识别等方面。</w:t>
      </w:r>
    </w:p>
    <w:p>
      <w:pPr>
        <w:ind w:left="0" w:right="0" w:firstLine="560"/>
        <w:spacing w:before="450" w:after="450" w:line="312" w:lineRule="auto"/>
      </w:pPr>
      <w:r>
        <w:rPr>
          <w:rFonts w:ascii="宋体" w:hAnsi="宋体" w:eastAsia="宋体" w:cs="宋体"/>
          <w:color w:val="000"/>
          <w:sz w:val="28"/>
          <w:szCs w:val="28"/>
        </w:rPr>
        <w:t xml:space="preserve">01可疑交易监测分析系统</w:t>
      </w:r>
    </w:p>
    <w:p>
      <w:pPr>
        <w:ind w:left="0" w:right="0" w:firstLine="560"/>
        <w:spacing w:before="450" w:after="450" w:line="312" w:lineRule="auto"/>
      </w:pPr>
      <w:r>
        <w:rPr>
          <w:rFonts w:ascii="宋体" w:hAnsi="宋体" w:eastAsia="宋体" w:cs="宋体"/>
          <w:color w:val="000"/>
          <w:sz w:val="28"/>
          <w:szCs w:val="28"/>
        </w:rPr>
        <w:t xml:space="preserve">可疑交易识别是发现和追踪涉嫌洗钱线索的有效途径，是我国反洗钱领域的核心问题。由于现代金融体系越来越复杂，金融创新产品层出不穷，不法分子的洗钱行为呈现出高度的“技术化”，给可疑交易识别带来了极大的挑战。对此，度小满金融利用大数据和人工智能等金融科技技术，提高可疑交易识别的效率和质量。</w:t>
      </w:r>
    </w:p>
    <w:p>
      <w:pPr>
        <w:ind w:left="0" w:right="0" w:firstLine="560"/>
        <w:spacing w:before="450" w:after="450" w:line="312" w:lineRule="auto"/>
      </w:pPr>
      <w:r>
        <w:rPr>
          <w:rFonts w:ascii="宋体" w:hAnsi="宋体" w:eastAsia="宋体" w:cs="宋体"/>
          <w:color w:val="000"/>
          <w:sz w:val="28"/>
          <w:szCs w:val="28"/>
        </w:rPr>
        <w:t xml:space="preserve">基于监管要求、结合现有业务场景、同时参考中国人民银行发布的《关于进一步完善银行业洗钱类型分析工作的通知》中可疑交易类型和知识点对照表，设计100+维度的特征库，引入模型建设工具，支持数据海量输入、处理、输出、模型训练的全流程闭环，通过各种数据源、组件、算法，把成百上千个分类准确率较低的树模型组合起来，成为一个准确率很高的模型，并不断迭代实现机器学习模型的不断优化，做出最好分类结果。同时结合典型洗钱案例以及监管机构风险提示和指引，设置了20+监控规则，可以有效识别：疑似涉毒、疑似地下钱庄、疑似非法集资、疑似赌博、疑似套现等异常交易，最大限度监控及降低洗钱风险，节省大量人力成本的同时有效监控分析可疑交易并上报监管，满足合规需求。</w:t>
      </w:r>
    </w:p>
    <w:p>
      <w:pPr>
        <w:ind w:left="0" w:right="0" w:firstLine="560"/>
        <w:spacing w:before="450" w:after="450" w:line="312" w:lineRule="auto"/>
      </w:pPr>
      <w:r>
        <w:rPr>
          <w:rFonts w:ascii="宋体" w:hAnsi="宋体" w:eastAsia="宋体" w:cs="宋体"/>
          <w:color w:val="000"/>
          <w:sz w:val="28"/>
          <w:szCs w:val="28"/>
        </w:rPr>
        <w:t xml:space="preserve">02客户风险分级管理系统</w:t>
      </w:r>
    </w:p>
    <w:p>
      <w:pPr>
        <w:ind w:left="0" w:right="0" w:firstLine="560"/>
        <w:spacing w:before="450" w:after="450" w:line="312" w:lineRule="auto"/>
      </w:pPr>
      <w:r>
        <w:rPr>
          <w:rFonts w:ascii="宋体" w:hAnsi="宋体" w:eastAsia="宋体" w:cs="宋体"/>
          <w:color w:val="000"/>
          <w:sz w:val="28"/>
          <w:szCs w:val="28"/>
        </w:rPr>
        <w:t xml:space="preserve">基于监管对客户风险评级中风险指标的要求及规范，结合现有业务的客户情况(包含自然人客户及非自然人客户)，将客户风险评级分为动态因子和静态因子。静态因子目前主要为客户基本信息，包含客户信息、地域情况及职业/行业;动态因子是通过交易记录对客户风险进行评估，主要评估维度包括异常交易时间，异地交易，交易集中度等，通过对指标进行权重分配，在部分动态风险指标中，采用排秩的方式进行指标赋值，最终通过动态及静态指标的综合得分，最终确定客户风险等级。同时客户风险评级系统将客户风险等级为中高分险以上及评级分数变化较大的客户推送至反洗钱任务处理台(“加强尽职调查”、“重新识别”“人工确认”)。由尽调岗对客户基本情况、客户经营交易情况进行调查，并开展客户交易持续监控。</w:t>
      </w:r>
    </w:p>
    <w:p>
      <w:pPr>
        <w:ind w:left="0" w:right="0" w:firstLine="560"/>
        <w:spacing w:before="450" w:after="450" w:line="312" w:lineRule="auto"/>
      </w:pPr>
      <w:r>
        <w:rPr>
          <w:rFonts w:ascii="宋体" w:hAnsi="宋体" w:eastAsia="宋体" w:cs="宋体"/>
          <w:color w:val="000"/>
          <w:sz w:val="28"/>
          <w:szCs w:val="28"/>
        </w:rPr>
        <w:t xml:space="preserve">03监控名单库</w:t>
      </w:r>
    </w:p>
    <w:p>
      <w:pPr>
        <w:ind w:left="0" w:right="0" w:firstLine="560"/>
        <w:spacing w:before="450" w:after="450" w:line="312" w:lineRule="auto"/>
      </w:pPr>
      <w:r>
        <w:rPr>
          <w:rFonts w:ascii="宋体" w:hAnsi="宋体" w:eastAsia="宋体" w:cs="宋体"/>
          <w:color w:val="000"/>
          <w:sz w:val="28"/>
          <w:szCs w:val="28"/>
        </w:rPr>
        <w:t xml:space="preserve">为确保名单库能够及时进行更新和维护。从系统层面对命中名单进行了分类，对命中涉恐类、犯罪类等高风险类别在不涉及资金交易的用户注册阶段即进行名单监测，对命中人员直接拒绝其注册申请，将名单内人员拦截在了公司服务体系之外，有利于及时发现和处理高风险类别任务，降低不法分子利用公司产品进行非法活动的风险。</w:t>
      </w:r>
    </w:p>
    <w:p>
      <w:pPr>
        <w:ind w:left="0" w:right="0" w:firstLine="560"/>
        <w:spacing w:before="450" w:after="450" w:line="312" w:lineRule="auto"/>
      </w:pPr>
      <w:r>
        <w:rPr>
          <w:rFonts w:ascii="宋体" w:hAnsi="宋体" w:eastAsia="宋体" w:cs="宋体"/>
          <w:color w:val="000"/>
          <w:sz w:val="28"/>
          <w:szCs w:val="28"/>
        </w:rPr>
        <w:t xml:space="preserve">04户身份识别</w:t>
      </w:r>
    </w:p>
    <w:p>
      <w:pPr>
        <w:ind w:left="0" w:right="0" w:firstLine="560"/>
        <w:spacing w:before="450" w:after="450" w:line="312" w:lineRule="auto"/>
      </w:pPr>
      <w:r>
        <w:rPr>
          <w:rFonts w:ascii="宋体" w:hAnsi="宋体" w:eastAsia="宋体" w:cs="宋体"/>
          <w:color w:val="000"/>
          <w:sz w:val="28"/>
          <w:szCs w:val="28"/>
        </w:rPr>
        <w:t xml:space="preserve">按照《支付机构反洗钱和反恐怖融资管理办法》以及《非银行支付机构网络支付业务管理办法》的相关规定，对个人支付账户进行了 i、 ii、iii类分类。为客户开立支付账户的，实行实名制管理，登记并采取有效措施验证客户身份基本信息。同时在开户环节进行制裁名单、恐怖融资名单、政要名单等“黑名单”校验，并根据内部风险策略，进行拒绝准入、经管理层审批后准入、确认高风险等差异化管理，并定期对存量客户进行持续识别并开展差异化策略处置。</w:t>
      </w:r>
    </w:p>
    <w:p>
      <w:pPr>
        <w:ind w:left="0" w:right="0" w:firstLine="560"/>
        <w:spacing w:before="450" w:after="450" w:line="312" w:lineRule="auto"/>
      </w:pPr>
      <w:r>
        <w:rPr>
          <w:rFonts w:ascii="宋体" w:hAnsi="宋体" w:eastAsia="宋体" w:cs="宋体"/>
          <w:color w:val="000"/>
          <w:sz w:val="28"/>
          <w:szCs w:val="28"/>
        </w:rPr>
        <w:t xml:space="preserve">05动态调整反洗钱监测标准</w:t>
      </w:r>
    </w:p>
    <w:p>
      <w:pPr>
        <w:ind w:left="0" w:right="0" w:firstLine="560"/>
        <w:spacing w:before="450" w:after="450" w:line="312" w:lineRule="auto"/>
      </w:pPr>
      <w:r>
        <w:rPr>
          <w:rFonts w:ascii="宋体" w:hAnsi="宋体" w:eastAsia="宋体" w:cs="宋体"/>
          <w:color w:val="000"/>
          <w:sz w:val="28"/>
          <w:szCs w:val="28"/>
        </w:rPr>
        <w:t xml:space="preserve">根据行业特点、本机构实际情况建立符合反洗钱法律法规的反洗钱监测系统，并根据人员岗位配置了合理的系统权限。目前反洗钱监测系统能较好地支持反洗钱管理工作，后续将严格依照监管要求，参照监管机构定期发布的反洗钱风险提示等，不断积累真实、准确、连续、完整的内外部数据，结合客户、业务和洗钱风险变化情况及时调整模型策略，确保监测标准能够有效监控洗钱风险。</w:t>
      </w:r>
    </w:p>
    <w:p>
      <w:pPr>
        <w:ind w:left="0" w:right="0" w:firstLine="560"/>
        <w:spacing w:before="450" w:after="450" w:line="312" w:lineRule="auto"/>
      </w:pPr>
      <w:r>
        <w:rPr>
          <w:rFonts w:ascii="宋体" w:hAnsi="宋体" w:eastAsia="宋体" w:cs="宋体"/>
          <w:color w:val="000"/>
          <w:sz w:val="28"/>
          <w:szCs w:val="28"/>
        </w:rPr>
        <w:t xml:space="preserve">鉴于当前反洗钱和反恐怖融资工作面临的严峻形势，以及反洗钱工作的重要性，度小满金融将高度重视反洗钱管理工作，严格执行反洗钱政策法规，全面贯彻人民银行反洗钱工作要求，向全局化、系统化、穿透式转变，不断提升全员反洗钱意识、优化系统监控、加大资源投入、加强反洗钱治理、健全和完善反洗钱内控制度管理体系，提升反洗钱管理水平和风险控制能力，逐步落实“风险为本”的原则和理念。</w:t>
      </w:r>
    </w:p>
    <w:p>
      <w:pPr>
        <w:ind w:left="0" w:right="0" w:firstLine="560"/>
        <w:spacing w:before="450" w:after="450" w:line="312" w:lineRule="auto"/>
      </w:pPr>
      <w:r>
        <w:rPr>
          <w:rFonts w:ascii="黑体" w:hAnsi="黑体" w:eastAsia="黑体" w:cs="黑体"/>
          <w:color w:val="000000"/>
          <w:sz w:val="34"/>
          <w:szCs w:val="34"/>
          <w:b w:val="1"/>
          <w:bCs w:val="1"/>
        </w:rPr>
        <w:t xml:space="preserve">评估报告怎么做篇三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评估报告怎么做篇四</w:t>
      </w:r>
    </w:p>
    <w:p>
      <w:pPr>
        <w:ind w:left="0" w:right="0" w:firstLine="560"/>
        <w:spacing w:before="450" w:after="450" w:line="312" w:lineRule="auto"/>
      </w:pPr>
      <w:r>
        <w:rPr>
          <w:rFonts w:ascii="宋体" w:hAnsi="宋体" w:eastAsia="宋体" w:cs="宋体"/>
          <w:color w:val="000"/>
          <w:sz w:val="28"/>
          <w:szCs w:val="28"/>
        </w:rPr>
        <w:t xml:space="preserve">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 致富思源，富而思进 、 学党章、正党风、守党纪 、 三个代表 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 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w:t>
      </w:r>
    </w:p>
    <w:p>
      <w:pPr>
        <w:ind w:left="0" w:right="0" w:firstLine="560"/>
        <w:spacing w:before="450" w:after="450" w:line="312" w:lineRule="auto"/>
      </w:pPr>
      <w:r>
        <w:rPr>
          <w:rFonts w:ascii="宋体" w:hAnsi="宋体" w:eastAsia="宋体" w:cs="宋体"/>
          <w:color w:val="000"/>
          <w:sz w:val="28"/>
          <w:szCs w:val="28"/>
        </w:rPr>
        <w:t xml:space="preserve">我们本着将党员教育管理融入党建活动之中，以开展深入扎实的党建系列活动来不断丰富党员教育管理内容。几年来，我们坚持面向机关广大党员，服从服务于全县中心工作，相继组织开展了 我为党旗添光彩 和 解放思想找差距、干事创业促发展 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(四)健全党建责任体系，强化教育管理职责。</w:t>
      </w:r>
    </w:p>
    <w:p>
      <w:pPr>
        <w:ind w:left="0" w:right="0" w:firstLine="560"/>
        <w:spacing w:before="450" w:after="450" w:line="312" w:lineRule="auto"/>
      </w:pPr>
      <w:r>
        <w:rPr>
          <w:rFonts w:ascii="宋体" w:hAnsi="宋体" w:eastAsia="宋体" w:cs="宋体"/>
          <w:color w:val="000"/>
          <w:sz w:val="28"/>
          <w:szCs w:val="28"/>
        </w:rPr>
        <w:t xml:space="preserve">我们把加强领导作为党员教育管理工作的关键，认真贯彻 党要管党 和 从严治党 的方针，在深入开展 三级联创 的基础上，建立和完善了党员教育管理工作目标责任制，切实履行好党员教育管理工作责任、狠抓落实。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一是落实党建及党员教育管理责任制。经常研究并督促检查，随时掌握党员思想状况，有针对性地做好思想政治工作，将党员教育管理常抓不懈、持之以恒，避免时紧时松的现象;</w:t>
      </w:r>
    </w:p>
    <w:p>
      <w:pPr>
        <w:ind w:left="0" w:right="0" w:firstLine="560"/>
        <w:spacing w:before="450" w:after="450" w:line="312" w:lineRule="auto"/>
      </w:pPr>
      <w:r>
        <w:rPr>
          <w:rFonts w:ascii="宋体" w:hAnsi="宋体" w:eastAsia="宋体" w:cs="宋体"/>
          <w:color w:val="000"/>
          <w:sz w:val="28"/>
          <w:szCs w:val="28"/>
        </w:rPr>
        <w:t xml:space="preserve">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w:t>
      </w:r>
    </w:p>
    <w:p>
      <w:pPr>
        <w:ind w:left="0" w:right="0" w:firstLine="560"/>
        <w:spacing w:before="450" w:after="450" w:line="312" w:lineRule="auto"/>
      </w:pPr>
      <w:r>
        <w:rPr>
          <w:rFonts w:ascii="宋体" w:hAnsi="宋体" w:eastAsia="宋体" w:cs="宋体"/>
          <w:color w:val="000"/>
          <w:sz w:val="28"/>
          <w:szCs w:val="28"/>
        </w:rPr>
        <w:t xml:space="preserve">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1、以 三个代表 重要思想为主线，全面加强党员教育管理工作。要进一步加强党员的理论教育，以 三个代表 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2024-10-06T14:39:07+08:00</dcterms:created>
  <dcterms:modified xsi:type="dcterms:W3CDTF">2024-10-06T14:39:07+08:00</dcterms:modified>
</cp:coreProperties>
</file>

<file path=docProps/custom.xml><?xml version="1.0" encoding="utf-8"?>
<Properties xmlns="http://schemas.openxmlformats.org/officeDocument/2006/custom-properties" xmlns:vt="http://schemas.openxmlformats.org/officeDocument/2006/docPropsVTypes"/>
</file>