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意识形态工作研判报告个人(4篇)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意识形态工作研判报告个人篇一</w:t>
      </w:r>
    </w:p>
    <w:p>
      <w:pPr>
        <w:ind w:left="0" w:right="0" w:firstLine="560"/>
        <w:spacing w:before="450" w:after="450" w:line="312" w:lineRule="auto"/>
      </w:pPr>
      <w:r>
        <w:rPr>
          <w:rFonts w:ascii="宋体" w:hAnsi="宋体" w:eastAsia="宋体" w:cs="宋体"/>
          <w:color w:val="000"/>
          <w:sz w:val="28"/>
          <w:szCs w:val="28"/>
        </w:rPr>
        <w:t xml:space="preserve">20**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意识形态工作研判报告个人篇二</w:t>
      </w:r>
    </w:p>
    <w:p>
      <w:pPr>
        <w:ind w:left="0" w:right="0" w:firstLine="560"/>
        <w:spacing w:before="450" w:after="450" w:line="312" w:lineRule="auto"/>
      </w:pPr>
      <w:r>
        <w:rPr>
          <w:rFonts w:ascii="宋体" w:hAnsi="宋体" w:eastAsia="宋体" w:cs="宋体"/>
          <w:color w:val="000"/>
          <w:sz w:val="28"/>
          <w:szCs w:val="28"/>
        </w:rPr>
        <w:t xml:space="preserve">今年上半年，***市严格落实《**市20**年度党委(党组)意识形态工作责任制实施细则》要求，不断提高意识形态工作水平，推动意识形态工作稳健发展，实现了全市意识形态领域安全有序和平稳可控。现将我市20**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意识形态工作研判报告个人篇三</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总书记关于意识形态工作重要讲话精神和中央、自治区、及我市相关文件精神，并对20**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意识形态工作研判报告个人篇四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年，是我国贯彻落实党的十九大的第二年，也是中华人民共和国成立73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