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小学关心下一代工作制度(三篇)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小学关心下一代工作制度篇一坚持以科学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小学关心下一代工作制度篇一</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xx届四中全会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 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 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9、七、八月份：诚信暑假社会实践文明上网读书教育活动月 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黑体" w:hAnsi="黑体" w:eastAsia="黑体" w:cs="黑体"/>
          <w:color w:val="000000"/>
          <w:sz w:val="34"/>
          <w:szCs w:val="34"/>
          <w:b w:val="1"/>
          <w:bCs w:val="1"/>
        </w:rPr>
        <w:t xml:space="preserve">小学关心下一代工作制度篇二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全会及人大十一届四次会议精神为指导，认真贯彻xx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 ，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小学关心下一代工作制度篇三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 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 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 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 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 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 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 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 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 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 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 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 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 对单亲子女进行调查，要特别关注这部分人，在生活上关心他们，在学习上帮助他们，加强对他们的政治思想教育，使他们感受到党和社会的温暖。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2024-10-04T20:28:32+08:00</dcterms:created>
  <dcterms:modified xsi:type="dcterms:W3CDTF">2024-10-04T20:28:32+08:00</dcterms:modified>
</cp:coreProperties>
</file>

<file path=docProps/custom.xml><?xml version="1.0" encoding="utf-8"?>
<Properties xmlns="http://schemas.openxmlformats.org/officeDocument/2006/custom-properties" xmlns:vt="http://schemas.openxmlformats.org/officeDocument/2006/docPropsVTypes"/>
</file>