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2024年手术室个人工作总结亮点 手术室个人工作总结(5篇)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手术室个人工作总结亮点 手术室个人工作总结一做 为一名急诊科护士，我们肩负着“120”院前急救、转运、院内急救的任务，以快捷、高效、优质的急救医疗服务，充分保障了辖区内“120”院前急救及院内 急诊急救工作的顺利开展，确保了我院“120”急...</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工作总结是做好各项工作的重要环节。通过工作总结，可以明确下一步工作的方向，少走弯路，少犯错误，提高工作效益。那么该怎么写工作总结呢?下面给大家分享关于手术室个人工作总结，方便大家学习。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手术室护士长月个人总结5篇&lt;/span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护士月工作个人总结范文5篇&lt;/span</w:t>
      </w:r>
    </w:p>
    <w:p>
      <w:pPr>
        <w:ind w:left="0" w:right="0" w:firstLine="560"/>
        <w:spacing w:before="450" w:after="450" w:line="312" w:lineRule="auto"/>
      </w:pPr>
      <w:r>
        <w:rPr>
          <w:rFonts w:ascii="宋体" w:hAnsi="宋体" w:eastAsia="宋体" w:cs="宋体"/>
          <w:color w:val="000"/>
          <w:sz w:val="28"/>
          <w:szCs w:val="28"/>
        </w:rPr>
        <w:t xml:space="preserve">★ 轮转护士个人年终总结5篇&lt;/span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骨科护士长年终个人总结5篇&lt;/span[_TAG_h2]手术室个人工作总结亮点 手术室个人工作总结三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手术室个人工作总结四</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手术室个人工作总结五</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2024-09-20T08:33:12+08:00</dcterms:created>
  <dcterms:modified xsi:type="dcterms:W3CDTF">2024-09-20T08:33:12+08:00</dcterms:modified>
</cp:coreProperties>
</file>

<file path=docProps/custom.xml><?xml version="1.0" encoding="utf-8"?>
<Properties xmlns="http://schemas.openxmlformats.org/officeDocument/2006/custom-properties" xmlns:vt="http://schemas.openxmlformats.org/officeDocument/2006/docPropsVTypes"/>
</file>