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党支部标准化规范化建设工作总结十篇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党支部标准化建设和标准化建设中，我市坚持稳步推进，从培训、调查、落实三项基本任务入手，循序渐进，着力抓好&amp;ldquo创建标准基层掌握，分支机构数量清晰，实施方案简洁&amp;rdquo为下一步的达标打下了坚实的基础。 以下是为大家整理的关于党支部...</w:t>
      </w:r>
    </w:p>
    <w:p>
      <w:pPr>
        <w:ind w:left="0" w:right="0" w:firstLine="560"/>
        <w:spacing w:before="450" w:after="450" w:line="312" w:lineRule="auto"/>
      </w:pPr>
      <w:r>
        <w:rPr>
          <w:rFonts w:ascii="宋体" w:hAnsi="宋体" w:eastAsia="宋体" w:cs="宋体"/>
          <w:color w:val="000"/>
          <w:sz w:val="28"/>
          <w:szCs w:val="28"/>
        </w:rPr>
        <w:t xml:space="preserve">在党支部标准化建设和标准化建设中，我市坚持稳步推进，从培训、调查、落实三项基本任务入手，循序渐进，着力抓好&amp;ldquo创建标准基层掌握，分支机构数量清晰，实施方案简洁&amp;rdquo为下一步的达标打下了坚实的基础。 以下是为大家整理的关于党支部标准化规范化建设工作总结的文章10篇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2024年度分领域示范党支部创建工作情况，全面分析研判各领域示范党支部创建中存在的经验和不足，并明确把示范党支部纳入2024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2024年达标创建计划分类统计、XX市党支部规范化建设2024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2024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2024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2024年与麻园街道杨家塘社区联合创建网格化示范小区，2024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2024年吸收1名入党申请人，按期转正2名党员，各项资料健全完整。二是教育培训注重质量。认真落实党员教育培训要求，2024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2024年组织召开支委会12次、党员大会4次，上党课2次。二是丰富主题党日活动。2024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2024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2024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2024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2024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2024-09-27T07:24:13+08:00</dcterms:created>
  <dcterms:modified xsi:type="dcterms:W3CDTF">2024-09-27T07:24:13+08:00</dcterms:modified>
</cp:coreProperties>
</file>

<file path=docProps/custom.xml><?xml version="1.0" encoding="utf-8"?>
<Properties xmlns="http://schemas.openxmlformats.org/officeDocument/2006/custom-properties" xmlns:vt="http://schemas.openxmlformats.org/officeDocument/2006/docPropsVTypes"/>
</file>