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厨师下班检查工作总结(通用26篇)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厨师下班检查工作总结1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厨师下班检查工作总结4</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厨师下班检查工作总结7</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&gt;一、菜品定位</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&gt;三、原材料的验收和使用</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&gt;四、食品卫生安全、消防安全</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&gt;五、菜肴出品把关</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厨师下班检查工作总结8</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厨师下班检查工作总结9</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厨师下班检查工作总结10</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厨师下班检查工作总结12</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厨师下班检查工作总结13</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一位，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是促进厨师技术不断提高，为企业增加魅力，由厨师长组织骨干力量，定期研发，推出新菜应每月一次，对创新品牌菜点的厨师予以重奖。定期派出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的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厨师下班检查工作总结14</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xx年的钟声即将敲响。首先，我预祝大家新年快乐、工作顺利!回首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xx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厨师下班检查工作总结16</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厨师下班检查工作总结17</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厨师下班检查工作总结19</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厨师下班检查工作总结20</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宋体" w:hAnsi="宋体" w:eastAsia="宋体" w:cs="宋体"/>
          <w:color w:val="000"/>
          <w:sz w:val="28"/>
          <w:szCs w:val="28"/>
        </w:rPr>
        <w:t xml:space="preserve">&gt;厨房工作总结</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五、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六、我们的队伍是以人性化管理，以德义为核心都明确自己的目标，自己的职责，工作的意义、相互关系，从而主动、积极创造性地去完成岗位的职责，才能在激烈的竞争上站稳脚，领导餐饮的潮流。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2024-10-03T07:28:53+08:00</dcterms:created>
  <dcterms:modified xsi:type="dcterms:W3CDTF">2024-10-03T07:28:53+08:00</dcterms:modified>
</cp:coreProperties>
</file>

<file path=docProps/custom.xml><?xml version="1.0" encoding="utf-8"?>
<Properties xmlns="http://schemas.openxmlformats.org/officeDocument/2006/custom-properties" xmlns:vt="http://schemas.openxmlformats.org/officeDocument/2006/docPropsVTypes"/>
</file>