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公共资源交易中心优化营商环境工作总结</w:t>
      </w:r>
      <w:bookmarkEnd w:id="1"/>
    </w:p>
    <w:p>
      <w:pPr>
        <w:jc w:val="center"/>
        <w:spacing w:before="0" w:after="450"/>
      </w:pPr>
      <w:r>
        <w:rPr>
          <w:rFonts w:ascii="Arial" w:hAnsi="Arial" w:eastAsia="Arial" w:cs="Arial"/>
          <w:color w:val="999999"/>
          <w:sz w:val="20"/>
          <w:szCs w:val="20"/>
        </w:rPr>
        <w:t xml:space="preserve">来源：网友投稿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公共资源交易中心优化营商环境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公共资源交易中心优化营商环境工作总结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公共资源交易中心优化营商环境工作总结</w:t>
      </w:r>
    </w:p>
    <w:p>
      <w:pPr>
        <w:ind w:left="0" w:right="0" w:firstLine="560"/>
        <w:spacing w:before="450" w:after="450" w:line="312" w:lineRule="auto"/>
      </w:pPr>
      <w:r>
        <w:rPr>
          <w:rFonts w:ascii="宋体" w:hAnsi="宋体" w:eastAsia="宋体" w:cs="宋体"/>
          <w:color w:val="000"/>
          <w:sz w:val="28"/>
          <w:szCs w:val="28"/>
        </w:rPr>
        <w:t xml:space="preserve">　　根据县优化营商环境方案具体要求，市监局勇当“放管服”改革的先行者，着力优化营商环境。现将主要工作总结如下：</w:t>
      </w:r>
    </w:p>
    <w:p>
      <w:pPr>
        <w:ind w:left="0" w:right="0" w:firstLine="560"/>
        <w:spacing w:before="450" w:after="450" w:line="312" w:lineRule="auto"/>
      </w:pPr>
      <w:r>
        <w:rPr>
          <w:rFonts w:ascii="宋体" w:hAnsi="宋体" w:eastAsia="宋体" w:cs="宋体"/>
          <w:color w:val="000"/>
          <w:sz w:val="28"/>
          <w:szCs w:val="28"/>
        </w:rPr>
        <w:t xml:space="preserve">　　&gt;一、食药安全工程扎实推进。上半年，我局持续开展了食品药品安全领域风险集中排查整治行动、食品药品安全风险隐患排查治理、节日食品安全整顿、清查“山寨食品”、“五毛食品”、和校园周边食品安全、学校食堂安全整治、“3.15曝光问题食品”专项清查等20余项专项整治行动，全面地排查治理了食品药品安全隐患，有效保证了食品药品安全;为全面巩固“创建国家食品安全示范城市”成果，深入开展“放心肉菜示范超市”创建活动，实施集中交易市场整治提升行动，全面开展了打击食品保健食品“百日攻坚”行动。通过排查治理，食品、保健食品、医疗器械欺诈和虚假宣传现象基本得到有效遏制;食品生产企业质量管理水平提升、餐饮业质量安全提升、药品零售企业规范化建设以及食品药品抽检工作均全面有力推进。截至目前，共发放食品安全宣传资料5000余份，检查食品经营户1320家，排查安全隐患46个，整改完成46个，整改率达100%;已完成262个批次的食用农产品抽样检测，待检测机构出具检测报告后，我局将依据检测结果，对经销不合格食用农产品的经营单位依法进行查处。</w:t>
      </w:r>
    </w:p>
    <w:p>
      <w:pPr>
        <w:ind w:left="0" w:right="0" w:firstLine="560"/>
        <w:spacing w:before="450" w:after="450" w:line="312" w:lineRule="auto"/>
      </w:pPr>
      <w:r>
        <w:rPr>
          <w:rFonts w:ascii="宋体" w:hAnsi="宋体" w:eastAsia="宋体" w:cs="宋体"/>
          <w:color w:val="000"/>
          <w:sz w:val="28"/>
          <w:szCs w:val="28"/>
        </w:rPr>
        <w:t xml:space="preserve">　　&gt;二、质量提升行动开展有序。我局以实施传统产业转型升级年为着力点，深入实施质量强县战略，扎实做好质量提升工作，着力提升盐山县产品质量水平。一是完善工作机制。我局牵头制定了《盐山县开展质量提升行动加快质量强县建设的实施方案》，于3月5日组织召开了全县质量提升工作调度会议;4月16日召开全县质量提升培训会议，邀请省专家对县直有关部门和51家企业负责人进行培训。二是突出标准引领。建立并实施企业领跑者制度，由我局联合发改、商信、教育、文化等八部门制定了《标准领跑者实施方案》，指导沧海核装备科技股份有限公司“企业标准化示范单位”考核验收前期准备工作，帮助河北汇东管道股份有限公司主持制定国家标准1项。三是夯实计量基础。建立与国家标准统一的强检计量器具服务系统，规范检定流程。上半年共检定各类计量器具2024台。</w:t>
      </w:r>
    </w:p>
    <w:p>
      <w:pPr>
        <w:ind w:left="0" w:right="0" w:firstLine="560"/>
        <w:spacing w:before="450" w:after="450" w:line="312" w:lineRule="auto"/>
      </w:pPr>
      <w:r>
        <w:rPr>
          <w:rFonts w:ascii="宋体" w:hAnsi="宋体" w:eastAsia="宋体" w:cs="宋体"/>
          <w:color w:val="000"/>
          <w:sz w:val="28"/>
          <w:szCs w:val="28"/>
        </w:rPr>
        <w:t xml:space="preserve">　　&gt;三、 “双随机一公开”监管常态化。继续发挥好牵头作用，督促指导相关部门科学实施“双随机”抽查，做到不流于形式，形成监管常态化。今年上半年，全县列入异常经营名录230余家，指导企业纠正违法违规行为并拉出异常85家;3.15期间，联合相关部门对50家食品批发和零售经营户进行了双随机抽查，并将抽查结果全部录入河北省双随机与双告知综合系统予以公示。</w:t>
      </w:r>
    </w:p>
    <w:p>
      <w:pPr>
        <w:ind w:left="0" w:right="0" w:firstLine="560"/>
        <w:spacing w:before="450" w:after="450" w:line="312" w:lineRule="auto"/>
      </w:pPr>
      <w:r>
        <w:rPr>
          <w:rFonts w:ascii="宋体" w:hAnsi="宋体" w:eastAsia="宋体" w:cs="宋体"/>
          <w:color w:val="000"/>
          <w:sz w:val="28"/>
          <w:szCs w:val="28"/>
        </w:rPr>
        <w:t xml:space="preserve">　　&gt;四、打造融资平台促进企业发展。我局采取多种方式，向各类企业、个体工商户、农民专业合作社和银行等有融资业务的单位广泛宣传股权质押、动产抵押、商标专用权质押登记等融资政策，大力引导企业通过股权、动产、商标专用权的资本化运作，盘活资产，加快企业发展。目前共办理动产抵押11笔，为企业融资1.4亿元。</w:t>
      </w:r>
    </w:p>
    <w:p>
      <w:pPr>
        <w:ind w:left="0" w:right="0" w:firstLine="560"/>
        <w:spacing w:before="450" w:after="450" w:line="312" w:lineRule="auto"/>
      </w:pPr>
      <w:r>
        <w:rPr>
          <w:rFonts w:ascii="宋体" w:hAnsi="宋体" w:eastAsia="宋体" w:cs="宋体"/>
          <w:color w:val="000"/>
          <w:sz w:val="28"/>
          <w:szCs w:val="28"/>
        </w:rPr>
        <w:t xml:space="preserve">　　下一步，我局将继续发挥职能作用，坚定不移推进深化改革，进一步创新监管模式，加大服务力度，使“双创双服”工作真正落地见效，让市场主体创新发展，让市场经济创造活力。</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公共资源交易中心优化营商环境工作总结</w:t>
      </w:r>
    </w:p>
    <w:p>
      <w:pPr>
        <w:ind w:left="0" w:right="0" w:firstLine="560"/>
        <w:spacing w:before="450" w:after="450" w:line="312" w:lineRule="auto"/>
      </w:pPr>
      <w:r>
        <w:rPr>
          <w:rFonts w:ascii="宋体" w:hAnsi="宋体" w:eastAsia="宋体" w:cs="宋体"/>
          <w:color w:val="000"/>
          <w:sz w:val="28"/>
          <w:szCs w:val="28"/>
        </w:rPr>
        <w:t xml:space="preserve">　　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&gt;　　一、2024年主要工作完成情况</w:t>
      </w:r>
    </w:p>
    <w:p>
      <w:pPr>
        <w:ind w:left="0" w:right="0" w:firstLine="560"/>
        <w:spacing w:before="450" w:after="450" w:line="312" w:lineRule="auto"/>
      </w:pPr>
      <w:r>
        <w:rPr>
          <w:rFonts w:ascii="宋体" w:hAnsi="宋体" w:eastAsia="宋体" w:cs="宋体"/>
          <w:color w:val="000"/>
          <w:sz w:val="28"/>
          <w:szCs w:val="28"/>
        </w:rPr>
        <w:t xml:space="preserve">　　(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7.5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　　(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2024年至今，共接收省市营商案件67件，通过分类办结、定期调度督办等方式狠抓营商案件办理，截至目前，共办结54件，办结率80.6%;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　　(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　　(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审批制度改革落实还不彻底。区内个别部门仍然存在审批事项不进厅、审批权限不集中、不到位、事项转交不彻底等问题。结合政务平台建设，个别部门仍存在需求侧事项未录入、信息不准确、网办率较低等问题。</w:t>
      </w:r>
    </w:p>
    <w:p>
      <w:pPr>
        <w:ind w:left="0" w:right="0" w:firstLine="560"/>
        <w:spacing w:before="450" w:after="450" w:line="312" w:lineRule="auto"/>
      </w:pPr>
      <w:r>
        <w:rPr>
          <w:rFonts w:ascii="宋体" w:hAnsi="宋体" w:eastAsia="宋体" w:cs="宋体"/>
          <w:color w:val="000"/>
          <w:sz w:val="28"/>
          <w:szCs w:val="28"/>
        </w:rPr>
        <w:t xml:space="preserve">　　(二)政务中心窗口建设仍有待加强。经过近两年的窗口质量专项整治，窗口服务水平有较大提高，但部分窗口单位存在服务不够热情、解决问题能力不高的问题。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　　(三)营商案件等企业诉求办结率不高。皇姑区营商案件中拖欠款类案件占案件总数比例较大，偿还金额少，办案难度较大，年底完成100%办结难度较大。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&gt;　　三、2024年工作目标</w:t>
      </w:r>
    </w:p>
    <w:p>
      <w:pPr>
        <w:ind w:left="0" w:right="0" w:firstLine="560"/>
        <w:spacing w:before="450" w:after="450" w:line="312" w:lineRule="auto"/>
      </w:pPr>
      <w:r>
        <w:rPr>
          <w:rFonts w:ascii="宋体" w:hAnsi="宋体" w:eastAsia="宋体" w:cs="宋体"/>
          <w:color w:val="000"/>
          <w:sz w:val="28"/>
          <w:szCs w:val="28"/>
        </w:rPr>
        <w:t xml:space="preserve">　　(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　　(二)深化审批改革，全面提升效率。一是全面实施“一窗制”综合受理，实现前台综合受理，后台分别审批;二是推广审批事项全程网办，办除特殊事项外，实现皇姑区政务服务事项100%可网办，不断推进“一次不用跑”，并提高事项网上办件量;三是加强政务中心建设，实现全区审批事项进驻大厅到位、审批授权窗口到位、电子监察到位;四是不断优化审批流程，加强开展并联审批、容缺受理工作，最多跑一次事项数量再提升20%，审批效能再提升20%;四是提速新办企业办理。全面实施新办企业工商、税务、银行、刻章的“一站式办理”，为企业提供“一对一”服务。优化办理流程，新办企业在政府窗口审批时限压缩在4小时之内，全流程办理时限提升至48小时之内。</w:t>
      </w:r>
    </w:p>
    <w:p>
      <w:pPr>
        <w:ind w:left="0" w:right="0" w:firstLine="560"/>
        <w:spacing w:before="450" w:after="450" w:line="312" w:lineRule="auto"/>
      </w:pPr>
      <w:r>
        <w:rPr>
          <w:rFonts w:ascii="宋体" w:hAnsi="宋体" w:eastAsia="宋体" w:cs="宋体"/>
          <w:color w:val="000"/>
          <w:sz w:val="28"/>
          <w:szCs w:val="28"/>
        </w:rPr>
        <w:t xml:space="preserve">　　(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　　2024年，营商局将以习近平总书记在深入推进东北振兴座谈会上的重要讲话精神为指导，严格落实《辽宁省优化营商环境条例》和沈阳市相关要求，不断打造便捷高效的政务环境，切实提升我区营商环境建设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2024-09-20T03:07:46+08:00</dcterms:created>
  <dcterms:modified xsi:type="dcterms:W3CDTF">2024-09-20T03:07:46+08:00</dcterms:modified>
</cp:coreProperties>
</file>

<file path=docProps/custom.xml><?xml version="1.0" encoding="utf-8"?>
<Properties xmlns="http://schemas.openxmlformats.org/officeDocument/2006/custom-properties" xmlns:vt="http://schemas.openxmlformats.org/officeDocument/2006/docPropsVTypes"/>
</file>