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防范非法集资宣传工作总结</w:t>
      </w:r>
      <w:bookmarkEnd w:id="1"/>
    </w:p>
    <w:p>
      <w:pPr>
        <w:jc w:val="center"/>
        <w:spacing w:before="0" w:after="450"/>
      </w:pPr>
      <w:r>
        <w:rPr>
          <w:rFonts w:ascii="Arial" w:hAnsi="Arial" w:eastAsia="Arial" w:cs="Arial"/>
          <w:color w:val="999999"/>
          <w:sz w:val="20"/>
          <w:szCs w:val="20"/>
        </w:rPr>
        <w:t xml:space="preserve">来源：网友投稿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今天为大家精心准备了防范非法集资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　&gt;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　&gt;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　&gt;　一、活动情况</w:t>
      </w:r>
    </w:p>
    <w:p>
      <w:pPr>
        <w:ind w:left="0" w:right="0" w:firstLine="560"/>
        <w:spacing w:before="450" w:after="450" w:line="312" w:lineRule="auto"/>
      </w:pPr>
      <w:r>
        <w:rPr>
          <w:rFonts w:ascii="宋体" w:hAnsi="宋体" w:eastAsia="宋体" w:cs="宋体"/>
          <w:color w:val="000"/>
          <w:sz w:val="28"/>
          <w:szCs w:val="28"/>
        </w:rPr>
        <w:t xml:space="preserve">　　一是加强组织领导，强化干部学习。县工商信局于6月15日集中宣传日活动当天组织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　　二是积极落实公益短信宣传。我局积极联系中国电信、中国移动和中国联通龙川分公司编制2-3条防范非法集资的公益短信，定期向所属手机客户集中发送。中国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　　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　　四是开展“七进”宣传。发送宣传单，做好现场解说，把防范非法集资宣传重点覆盖面向中小企业、工厂，尤其注重新冠肺炎疫情影响下融资存在一定困难的企业，警惕高利诱惑，合法合规进行贷款融资。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&gt;　　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　　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　　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防范非法集资宣传工作总结</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　&gt;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　&gt;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北流市打击和处置非法集资工作领导小组北处非〔2024〕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　&gt;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活动期间，我镇在充分利用政府网站平台开展宣传教育的同时，悬挂宣传横幅、张贴宣传标语等宣传活动，受到了居民的广泛关注，收到了良好效果。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2024-10-06T16:31:25+08:00</dcterms:created>
  <dcterms:modified xsi:type="dcterms:W3CDTF">2024-10-06T16:31:25+08:00</dcterms:modified>
</cp:coreProperties>
</file>

<file path=docProps/custom.xml><?xml version="1.0" encoding="utf-8"?>
<Properties xmlns="http://schemas.openxmlformats.org/officeDocument/2006/custom-properties" xmlns:vt="http://schemas.openxmlformats.org/officeDocument/2006/docPropsVTypes"/>
</file>