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2024工作总结疫情</w:t>
      </w:r>
      <w:bookmarkEnd w:id="1"/>
    </w:p>
    <w:p>
      <w:pPr>
        <w:jc w:val="center"/>
        <w:spacing w:before="0" w:after="450"/>
      </w:pPr>
      <w:r>
        <w:rPr>
          <w:rFonts w:ascii="Arial" w:hAnsi="Arial" w:eastAsia="Arial" w:cs="Arial"/>
          <w:color w:val="999999"/>
          <w:sz w:val="20"/>
          <w:szCs w:val="20"/>
        </w:rPr>
        <w:t xml:space="preserve">来源：网友投稿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2024年一场突如其来的新型冠状病毒袭击了我们的生活，当下抗疫情防病毒成了我们每个人生活工作重心，打赢新型冠状病毒防疫战争需要我们每一个人努力，本站今天为大家精心准备了2024工作总结疫情 ,希望对大家有所帮助!　　2024工作总结疫情　　...</w:t>
      </w:r>
    </w:p>
    <w:p>
      <w:pPr>
        <w:ind w:left="0" w:right="0" w:firstLine="560"/>
        <w:spacing w:before="450" w:after="450" w:line="312" w:lineRule="auto"/>
      </w:pPr>
      <w:r>
        <w:rPr>
          <w:rFonts w:ascii="宋体" w:hAnsi="宋体" w:eastAsia="宋体" w:cs="宋体"/>
          <w:color w:val="000"/>
          <w:sz w:val="28"/>
          <w:szCs w:val="28"/>
        </w:rPr>
        <w:t xml:space="preserve">2024年一场突如其来的新型冠状病毒袭击了我们的生活，当下抗疫情防病毒成了我们每个人生活工作重心，打赢新型冠状病毒防疫战争需要我们每一个人努力，本站今天为大家精心准备了2024工作总结疫情 ,希望对大家有所帮助![_TAG_h2]　　2024工作总结疫情</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2024-10-06T16:29:52+08:00</dcterms:created>
  <dcterms:modified xsi:type="dcterms:W3CDTF">2024-10-06T16:29:52+08:00</dcterms:modified>
</cp:coreProperties>
</file>

<file path=docProps/custom.xml><?xml version="1.0" encoding="utf-8"?>
<Properties xmlns="http://schemas.openxmlformats.org/officeDocument/2006/custom-properties" xmlns:vt="http://schemas.openxmlformats.org/officeDocument/2006/docPropsVTypes"/>
</file>