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防止返贫检测工作总结(通用6篇)</w:t>
      </w:r>
      <w:bookmarkEnd w:id="1"/>
    </w:p>
    <w:p>
      <w:pPr>
        <w:jc w:val="center"/>
        <w:spacing w:before="0" w:after="450"/>
      </w:pPr>
      <w:r>
        <w:rPr>
          <w:rFonts w:ascii="Arial" w:hAnsi="Arial" w:eastAsia="Arial" w:cs="Arial"/>
          <w:color w:val="999999"/>
          <w:sz w:val="20"/>
          <w:szCs w:val="20"/>
        </w:rPr>
        <w:t xml:space="preserve">来源：网友投稿  作者：静水流深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防止返贫检测工作总结1（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防止返贫检测工作总结1</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防止返贫检测工作总结2</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防止返贫检测工作总结3</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防止返贫检测工作总结4</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防止返贫检测工作总结5</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黑体" w:hAnsi="黑体" w:eastAsia="黑体" w:cs="黑体"/>
          <w:color w:val="000000"/>
          <w:sz w:val="36"/>
          <w:szCs w:val="36"/>
          <w:b w:val="1"/>
          <w:bCs w:val="1"/>
        </w:rPr>
        <w:t xml:space="preserve">防止返贫检测工作总结6</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gt;（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gt;（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gt;（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gt;（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gt;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gt;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gt;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gt;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gt;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gt;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&gt;（一）深入调研。县委、县政府按照省、市探索建立解决相对贫困长效机制工作安排部署，分解明确责任分工，县级各行业部门积极开展实地调研。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&gt;（二）会商研讨。县脱贫攻坚办组织行业部门，对相对贫困的识别标准、工作突破口和着力点深入研讨，理清工作思路。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&gt;（三）制定方案。县脱贫攻坚办在汇总各行业部门调研结果和会商研讨的基础上制定全县工作方案。各行业部门结合县总体部署和调研结果，制定形成行业部门工作方案。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gt;（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&gt;（二）压实责任。结合工作总体要求，强化党委政府主体责任，压实行业部门分工责任，调动帮扶干部积极参与，全县上下一盘棋，干部职工凝心聚力，合力克难攻坚，工作推进有序。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gt;（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gt;（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2024-10-19T02:19:13+08:00</dcterms:created>
  <dcterms:modified xsi:type="dcterms:W3CDTF">2024-10-19T02:19:13+08:00</dcterms:modified>
</cp:coreProperties>
</file>

<file path=docProps/custom.xml><?xml version="1.0" encoding="utf-8"?>
<Properties xmlns="http://schemas.openxmlformats.org/officeDocument/2006/custom-properties" xmlns:vt="http://schemas.openxmlformats.org/officeDocument/2006/docPropsVTypes"/>
</file>