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2024党史学习教育情况总结汇报材料3篇</w:t>
      </w:r>
      <w:bookmarkEnd w:id="1"/>
    </w:p>
    <w:p>
      <w:pPr>
        <w:jc w:val="center"/>
        <w:spacing w:before="0" w:after="450"/>
      </w:pPr>
      <w:r>
        <w:rPr>
          <w:rFonts w:ascii="Arial" w:hAnsi="Arial" w:eastAsia="Arial" w:cs="Arial"/>
          <w:color w:val="999999"/>
          <w:sz w:val="20"/>
          <w:szCs w:val="20"/>
        </w:rPr>
        <w:t xml:space="preserve">来源：网友投稿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中共党史是政党史，是专史，它研究建国后中国共产党作为执政党的历史。本站今天为大家精心准备了2024党史学习教育情况总结汇报材料，希望对大家有所帮助!　　2024党史学习教育情况总结汇报材料1篇　　 自党史学习教育开展以来，xx县卫生健...</w:t>
      </w:r>
    </w:p>
    <w:p>
      <w:pPr>
        <w:ind w:left="0" w:right="0" w:firstLine="560"/>
        <w:spacing w:before="450" w:after="450" w:line="312" w:lineRule="auto"/>
      </w:pPr>
      <w:r>
        <w:rPr>
          <w:rFonts w:ascii="宋体" w:hAnsi="宋体" w:eastAsia="宋体" w:cs="宋体"/>
          <w:color w:val="000"/>
          <w:sz w:val="28"/>
          <w:szCs w:val="28"/>
        </w:rPr>
        <w:t xml:space="preserve">　　 中共党史是政党史，是专史，它研究建国后中国共产党作为执政党的历史。本站今天为大家精心准备了2024党史学习教育情况总结汇报材料，希望对大家有所帮助!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2024党史学习教育情况总结汇报材料1篇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2024党史学习教育情况总结汇报材料2篇</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2024党史学习教育情况总结汇报材料3篇</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&gt;“三张清单”打造党史学习教育新高地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2024-10-06T04:32:31+08:00</dcterms:created>
  <dcterms:modified xsi:type="dcterms:W3CDTF">2024-10-06T04:32:31+08:00</dcterms:modified>
</cp:coreProperties>
</file>

<file path=docProps/custom.xml><?xml version="1.0" encoding="utf-8"?>
<Properties xmlns="http://schemas.openxmlformats.org/officeDocument/2006/custom-properties" xmlns:vt="http://schemas.openxmlformats.org/officeDocument/2006/docPropsVTypes"/>
</file>