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电力工作计划发言材料(六篇)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电力工作计划 电力工作计划发言材料一我公司的培训教育在经理的领导下，以安教部为主，负责全公司的文化、技术、业务培训，做到统一规划、组织实施。并把培训教育计划纳入公司的生产计划，同时下达，同时落实，同时总结考核。一、 岗位培训以练好基本功为主...</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电力工作计划发言材料二</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电力工作计划发言材料三</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电力工作计划发言材料四</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电力工作计划发言材料五</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电力工作计划发言材料六</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