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分析增值税转型政策在实践中的运用</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分析增值税转型政策在实践中的运用 分析增值税转型政策在实践中的运用分析增值税转型政策在实践中的运用 文章来源教育网2024年1月1日起我国开始实施增值税转型改革,由原来的生产型增值税转变为消费型增值税。改革的主体内容为:允许企业抵扣新购入设...</w:t>
      </w:r>
    </w:p>
    <w:p>
      <w:pPr>
        <w:ind w:left="0" w:right="0" w:firstLine="560"/>
        <w:spacing w:before="450" w:after="450" w:line="312" w:lineRule="auto"/>
      </w:pPr>
      <w:r>
        <w:rPr>
          <w:rFonts w:ascii="宋体" w:hAnsi="宋体" w:eastAsia="宋体" w:cs="宋体"/>
          <w:color w:val="000"/>
          <w:sz w:val="28"/>
          <w:szCs w:val="28"/>
        </w:rPr>
        <w:t xml:space="preserve">分析增值税转型政策在实践中的运用 分析增值税转型政策在实践中的运用分析增值税转型政策在实践中的运用 文章来源教育网</w:t>
      </w:r>
    </w:p>
    <w:p>
      <w:pPr>
        <w:ind w:left="0" w:right="0" w:firstLine="560"/>
        <w:spacing w:before="450" w:after="450" w:line="312" w:lineRule="auto"/>
      </w:pPr>
      <w:r>
        <w:rPr>
          <w:rFonts w:ascii="宋体" w:hAnsi="宋体" w:eastAsia="宋体" w:cs="宋体"/>
          <w:color w:val="000"/>
          <w:sz w:val="28"/>
          <w:szCs w:val="28"/>
        </w:rPr>
        <w:t xml:space="preserve">2024年1月1日起我国开始实施增值税转型改革,由原来的生产型增值税转变为消费型增值税。改革的主体内容为:允许企业抵扣新购入设备所含的增值税,同时取消进口设备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增值税转型对不同行业的影响不尽相同。笔者供职的企业为国有大型控股钢铁企业,大宗原材料、物资设备、固定资产的采购及投资额都比较大,是政策的受益者。现结合实践经验对增值税转型后企业主要涉税业务处理进行浅析。</w:t>
      </w:r>
    </w:p>
    <w:p>
      <w:pPr>
        <w:ind w:left="0" w:right="0" w:firstLine="560"/>
        <w:spacing w:before="450" w:after="450" w:line="312" w:lineRule="auto"/>
      </w:pPr>
      <w:r>
        <w:rPr>
          <w:rFonts w:ascii="宋体" w:hAnsi="宋体" w:eastAsia="宋体" w:cs="宋体"/>
          <w:color w:val="000"/>
          <w:sz w:val="28"/>
          <w:szCs w:val="28"/>
        </w:rPr>
        <w:t xml:space="preserve">一、允许企业新购入的机器设备所含进项税额在销项税额中抵扣</w:t>
      </w:r>
    </w:p>
    <w:p>
      <w:pPr>
        <w:ind w:left="0" w:right="0" w:firstLine="560"/>
        <w:spacing w:before="450" w:after="450" w:line="312" w:lineRule="auto"/>
      </w:pPr>
      <w:r>
        <w:rPr>
          <w:rFonts w:ascii="宋体" w:hAnsi="宋体" w:eastAsia="宋体" w:cs="宋体"/>
          <w:color w:val="000"/>
          <w:sz w:val="28"/>
          <w:szCs w:val="28"/>
        </w:rPr>
        <w:t xml:space="preserve">在实际操作中,以“持续经营”为前提的企业难免有跨年度工程的改、扩建及购进固定资产项目。要判断这些经济业务发生后取得的增值税专用发票是否符合政策转型后允许抵扣的范围,财务人员必须要正确确定固定资产购进时间、正确界定动产与不动产、正确划分地面附着物所包括的内容。</w:t>
      </w:r>
    </w:p>
    <w:p>
      <w:pPr>
        <w:ind w:left="0" w:right="0" w:firstLine="560"/>
        <w:spacing w:before="450" w:after="450" w:line="312" w:lineRule="auto"/>
      </w:pPr>
      <w:r>
        <w:rPr>
          <w:rFonts w:ascii="宋体" w:hAnsi="宋体" w:eastAsia="宋体" w:cs="宋体"/>
          <w:color w:val="000"/>
          <w:sz w:val="28"/>
          <w:szCs w:val="28"/>
        </w:rPr>
        <w:t xml:space="preserve">1.对以前年度购入的固定资产进行改扩建的业务处理</w:t>
      </w:r>
    </w:p>
    <w:p>
      <w:pPr>
        <w:ind w:left="0" w:right="0" w:firstLine="560"/>
        <w:spacing w:before="450" w:after="450" w:line="312" w:lineRule="auto"/>
      </w:pPr>
      <w:r>
        <w:rPr>
          <w:rFonts w:ascii="宋体" w:hAnsi="宋体" w:eastAsia="宋体" w:cs="宋体"/>
          <w:color w:val="000"/>
          <w:sz w:val="28"/>
          <w:szCs w:val="28"/>
        </w:rPr>
        <w:t xml:space="preserve">例:企业于2024年2月对以前年度购入的固定资产(连铸机)进行改造、锻造,当月取得增值税专用发票的进项税额为178万元。 2.对跨年度购入固定资产的业务处理 跨年度购入固定资产原则上应分别按照新旧《增值税暂行条例》及实施细则的规定,确定销货方纳税义务发生时间,以此判断纳税人固定资产的购进时间及能否抵扣。在实际工作中财务人员应根据有关合同、协议、运输凭证等资料来判断销货方的纳税义务发生时间,销货方纳税义务发生在2024年1月1日以后的,属于固定资产抵扣范围,应给予抵扣。 3.对不动产在建工程购进工程物资的业务处理 《增值税暂行条例》第十条规定,用于非增值税应税项目、免征增值税项目、集体福利或者个人消费的购进货物或应税劳务,其进项税额不得从销项税额中抵扣。按照《增值税暂行条例实施细则》第二十三条的解释,非增值税应税项目是指提供非增值税应税劳务、转让无形资产、销售不动产和不动产在建工程。其中,不动产是指不能移动或者移动后会引起性质、形状改变的财产,包括建筑物、构筑物和其他土地附着物。纳税人新建、改建、扩建、修缮、装饰不动产,均属于不动产在建工程。</w:t>
      </w:r>
    </w:p>
    <w:p>
      <w:pPr>
        <w:ind w:left="0" w:right="0" w:firstLine="560"/>
        <w:spacing w:before="450" w:after="450" w:line="312" w:lineRule="auto"/>
      </w:pPr>
      <w:r>
        <w:rPr>
          <w:rFonts w:ascii="宋体" w:hAnsi="宋体" w:eastAsia="宋体" w:cs="宋体"/>
          <w:color w:val="000"/>
          <w:sz w:val="28"/>
          <w:szCs w:val="28"/>
        </w:rPr>
        <w:t xml:space="preserve">根据上述规定,企业购进的屋顶风机、地下供电电缆等虽然属于允许抵扣进项税额的固定资产,但用于房屋、构筑物及构筑物的配套设施并与其构成一体的,则属于用于非增值税应税项目—不动产在建工程,其进项税额不得在销项税额中抵扣。所以,本例中为建造不动产所购进的屋顶风机、地下供电电缆30.6万元的进项税不能抵扣。同类的还包括给排水、采暖、卫生、通风、照明、通讯、煤气、消防、中央空调、电梯、电气、智能化楼宇等设备以及材料。本例中加油小车、轴承虽然是工程购入物资,但却是用于机器设备组成,不属于不动产在建项目,其20.4万元进项税可以抵扣。</w:t>
      </w:r>
    </w:p>
    <w:p>
      <w:pPr>
        <w:ind w:left="0" w:right="0" w:firstLine="560"/>
        <w:spacing w:before="450" w:after="450" w:line="312" w:lineRule="auto"/>
      </w:pPr>
      <w:r>
        <w:rPr>
          <w:rFonts w:ascii="宋体" w:hAnsi="宋体" w:eastAsia="宋体" w:cs="宋体"/>
          <w:color w:val="000"/>
          <w:sz w:val="28"/>
          <w:szCs w:val="28"/>
        </w:rPr>
        <w:t xml:space="preserve">二、企业销售使用过的固定资产计税业务发生变化 上述业务中的汽车符合以下三个条件:属于固定资产目录所列货物;按固定资产管理并使用一年以上;销售价格低于原值。如按旧的条例可以免征增值税,但按新条例,销售使用过的固定资产不再免税。 本例中,销售汽车的业务属财税[2024]9号文规定的依4%征收率减半征收增值税的情况,其销项税为8 076.92元([420 000÷(1+0.0</w:t>
      </w:r>
    </w:p>
    <w:p>
      <w:pPr>
        <w:ind w:left="0" w:right="0" w:firstLine="560"/>
        <w:spacing w:before="450" w:after="450" w:line="312" w:lineRule="auto"/>
      </w:pPr>
      <w:r>
        <w:rPr>
          <w:rFonts w:ascii="宋体" w:hAnsi="宋体" w:eastAsia="宋体" w:cs="宋体"/>
          <w:color w:val="000"/>
          <w:sz w:val="28"/>
          <w:szCs w:val="28"/>
        </w:rPr>
        <w:t xml:space="preserve">4)]×0.04÷</w:t>
      </w:r>
    </w:p>
    <w:p>
      <w:pPr>
        <w:ind w:left="0" w:right="0" w:firstLine="560"/>
        <w:spacing w:before="450" w:after="450" w:line="312" w:lineRule="auto"/>
      </w:pPr>
      <w:r>
        <w:rPr>
          <w:rFonts w:ascii="宋体" w:hAnsi="宋体" w:eastAsia="宋体" w:cs="宋体"/>
          <w:color w:val="000"/>
          <w:sz w:val="28"/>
          <w:szCs w:val="28"/>
        </w:rPr>
        <w:t xml:space="preserve">2)。转让的电机属于销售自己使用过的2024年1月1日以后购进或者自制的固定资产,按照适用税率征收增值税,其销项税为9 350元(55 000×17%)。</w:t>
      </w:r>
    </w:p>
    <w:p>
      <w:pPr>
        <w:ind w:left="0" w:right="0" w:firstLine="560"/>
        <w:spacing w:before="450" w:after="450" w:line="312" w:lineRule="auto"/>
      </w:pPr>
      <w:r>
        <w:rPr>
          <w:rFonts w:ascii="宋体" w:hAnsi="宋体" w:eastAsia="宋体" w:cs="宋体"/>
          <w:color w:val="000"/>
          <w:sz w:val="28"/>
          <w:szCs w:val="28"/>
        </w:rPr>
        <w:t xml:space="preserve">值得注意的是,企业在开票时只能开具普通发票。纳税申报时,按照“简易征税办法货物销售额”(适用4%征收率)填列金额,并将全部税额填入“简易征收办法计算的应纳税额”栏,同时将减半征收的税额反映在“应纳税额减征额”栏中,且不能抵减当月进项税金,需直接缴税款。</w:t>
      </w:r>
    </w:p>
    <w:p>
      <w:pPr>
        <w:ind w:left="0" w:right="0" w:firstLine="560"/>
        <w:spacing w:before="450" w:after="450" w:line="312" w:lineRule="auto"/>
      </w:pPr>
      <w:r>
        <w:rPr>
          <w:rFonts w:ascii="宋体" w:hAnsi="宋体" w:eastAsia="宋体" w:cs="宋体"/>
          <w:color w:val="000"/>
          <w:sz w:val="28"/>
          <w:szCs w:val="28"/>
        </w:rPr>
        <w:t xml:space="preserve">三、废旧物资专用发票不再做为抵扣凭证</w:t>
      </w:r>
    </w:p>
    <w:p>
      <w:pPr>
        <w:ind w:left="0" w:right="0" w:firstLine="560"/>
        <w:spacing w:before="450" w:after="450" w:line="312" w:lineRule="auto"/>
      </w:pPr>
      <w:r>
        <w:rPr>
          <w:rFonts w:ascii="宋体" w:hAnsi="宋体" w:eastAsia="宋体" w:cs="宋体"/>
          <w:color w:val="000"/>
          <w:sz w:val="28"/>
          <w:szCs w:val="28"/>
        </w:rPr>
        <w:t xml:space="preserve">众所周知,废钢对钢铁产业来说是非常重要的生产原料,笔者所在单位65%的废钢来源于废旧物资回收行业。为了支持废旧物资的回收利用,国家对此行业长期以来一直实行增值税优惠政策,对回收企业销售废旧物资免征增值税,其开具的废旧物资销售发票可以作为下环节企业(限于利用废旧物资作原料的生产企业,即利废企业)的扣税凭证,按金额的10%抵扣进项税额。 例:2024年全年企业从废旧物资回收公司采购废钢金额为246 000万元(不含税),按原规定计算出的进项税为24 600万元(246 000×10%);该业务如在2024年发生,则进项税为41 820万元(246 000×17%),比增值税转型前增加17 220万元的进项抵扣税额,意味着企业可少交增值税17 220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2024-10-06T08:27:54+08:00</dcterms:created>
  <dcterms:modified xsi:type="dcterms:W3CDTF">2024-10-06T08:27:54+08:00</dcterms:modified>
</cp:coreProperties>
</file>

<file path=docProps/custom.xml><?xml version="1.0" encoding="utf-8"?>
<Properties xmlns="http://schemas.openxmlformats.org/officeDocument/2006/custom-properties" xmlns:vt="http://schemas.openxmlformats.org/officeDocument/2006/docPropsVTypes"/>
</file>