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2024年近视防控工作总结干货(6篇)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近视防控工作总结干货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近视防控工作总结干货篇一</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4"/>
          <w:szCs w:val="34"/>
          <w:b w:val="1"/>
          <w:bCs w:val="1"/>
        </w:rPr>
        <w:t xml:space="preserve">近视防控工作总结干货篇二</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近视防控工作总结干货篇三</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4"/>
          <w:szCs w:val="34"/>
          <w:b w:val="1"/>
          <w:bCs w:val="1"/>
        </w:rPr>
        <w:t xml:space="preserve">近视防控工作总结干货篇四</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近视防控工作总结干货篇五</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（五）把“防近列入“三好学生评定条件凡视力在原基础有大幅下降&lt;下降三行视标以下）者不能评为“三好“学生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4"/>
          <w:szCs w:val="34"/>
          <w:b w:val="1"/>
          <w:bCs w:val="1"/>
        </w:rPr>
        <w:t xml:space="preserve">近视防控工作总结干货篇六</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2024-09-20T23:55:58+08:00</dcterms:created>
  <dcterms:modified xsi:type="dcterms:W3CDTF">2024-09-20T23:55:58+08:00</dcterms:modified>
</cp:coreProperties>
</file>

<file path=docProps/custom.xml><?xml version="1.0" encoding="utf-8"?>
<Properties xmlns="http://schemas.openxmlformats.org/officeDocument/2006/custom-properties" xmlns:vt="http://schemas.openxmlformats.org/officeDocument/2006/docPropsVTypes"/>
</file>