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最新水浒传读后感初中500字 水浒传读后感初中生(三篇)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是小编带来的优秀读后感范文，希望大家能够喜欢!水浒传读后感初中500字 水浒传读后感初中生篇一这个故事大概是这样的...</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水浒传读后感初中500字 水浒传读后感初中生篇一</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水浒传读后感初中500字 水浒传读后感初中生篇二</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宋体" w:hAnsi="宋体" w:eastAsia="宋体" w:cs="宋体"/>
          <w:color w:val="000"/>
          <w:sz w:val="28"/>
          <w:szCs w:val="28"/>
        </w:rPr>
        <w:t xml:space="preserve">水浒传读后感初中500字 水浒传读后感初中生篇三</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2024-09-21T00:57:45+08:00</dcterms:created>
  <dcterms:modified xsi:type="dcterms:W3CDTF">2024-09-21T00:57:45+08:00</dcterms:modified>
</cp:coreProperties>
</file>

<file path=docProps/custom.xml><?xml version="1.0" encoding="utf-8"?>
<Properties xmlns="http://schemas.openxmlformats.org/officeDocument/2006/custom-properties" xmlns:vt="http://schemas.openxmlformats.org/officeDocument/2006/docPropsVTypes"/>
</file>