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社保股工作总结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保股工作总结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一、抓好预算，...</w:t>
      </w:r>
    </w:p>
    <w:p>
      <w:pPr>
        <w:ind w:left="0" w:right="0" w:firstLine="560"/>
        <w:spacing w:before="450" w:after="450" w:line="312" w:lineRule="auto"/>
      </w:pPr>
      <w:r>
        <w:rPr>
          <w:rFonts w:ascii="宋体" w:hAnsi="宋体" w:eastAsia="宋体" w:cs="宋体"/>
          <w:color w:val="000"/>
          <w:sz w:val="28"/>
          <w:szCs w:val="28"/>
        </w:rPr>
        <w:t xml:space="preserve">社保股工作总结</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406.76万元、县财政配套108.46万元、省财政补助434万元、中央财政补助537万元。20xx年，共有40698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2024-10-20T03:32:34+08:00</dcterms:created>
  <dcterms:modified xsi:type="dcterms:W3CDTF">2024-10-20T03:32:34+08:00</dcterms:modified>
</cp:coreProperties>
</file>

<file path=docProps/custom.xml><?xml version="1.0" encoding="utf-8"?>
<Properties xmlns="http://schemas.openxmlformats.org/officeDocument/2006/custom-properties" xmlns:vt="http://schemas.openxmlformats.org/officeDocument/2006/docPropsVTypes"/>
</file>