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货物进口合同编号(19篇)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货物进口合同编号篇一买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货物进口合同编号篇四</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货物进口合同编号篇七</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货物进口合同编号篇八</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货物进口合同编号篇十一</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货物进口合同编号篇十二</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货物进口合同编号篇十三</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货物进口合同编号篇十四</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货物进口合同编号篇十六</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货物进口合同编号篇十七</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15.4.卖方所租载货船只船龄不得超过________年。对超过________年船龄的船只其超船龄额外保险费应由卖方负担。买方不接受船龄超过二十年的船只。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货物进口合同编号篇十九</w:t>
      </w:r>
    </w:p>
    <w:p>
      <w:pPr>
        <w:ind w:left="0" w:right="0" w:firstLine="560"/>
        <w:spacing w:before="450" w:after="450" w:line="312" w:lineRule="auto"/>
      </w:pPr>
      <w:r>
        <w:rPr>
          <w:rFonts w:ascii="宋体" w:hAnsi="宋体" w:eastAsia="宋体" w:cs="宋体"/>
          <w:color w:val="000"/>
          <w:sz w:val="28"/>
          <w:szCs w:val="28"/>
        </w:rPr>
        <w:t xml:space="preserve">合同编号(contractno.)：_______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2024-10-06T15:25:24+08:00</dcterms:created>
  <dcterms:modified xsi:type="dcterms:W3CDTF">2024-10-06T15:25:24+08:00</dcterms:modified>
</cp:coreProperties>
</file>

<file path=docProps/custom.xml><?xml version="1.0" encoding="utf-8"?>
<Properties xmlns="http://schemas.openxmlformats.org/officeDocument/2006/custom-properties" xmlns:vt="http://schemas.openxmlformats.org/officeDocument/2006/docPropsVTypes"/>
</file>