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公司年度的工作计划范文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度计划的制定主要有以下程序：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w:t>
      </w:r>
    </w:p>
    <w:p>
      <w:pPr>
        <w:ind w:left="0" w:right="0" w:firstLine="560"/>
        <w:spacing w:before="450" w:after="450" w:line="312" w:lineRule="auto"/>
      </w:pPr>
      <w:r>
        <w:rPr>
          <w:rFonts w:ascii="宋体" w:hAnsi="宋体" w:eastAsia="宋体" w:cs="宋体"/>
          <w:color w:val="000"/>
          <w:sz w:val="28"/>
          <w:szCs w:val="28"/>
        </w:rPr>
        <w:t xml:space="preserve">年度计划的制定主要有以下程序：</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和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或者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的特点，加或者减上X%进行估计，是惯长使用的，在中国企业会更多一些。</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或者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XXX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2024-10-06T04:02:31+08:00</dcterms:created>
  <dcterms:modified xsi:type="dcterms:W3CDTF">2024-10-06T04:02:31+08:00</dcterms:modified>
</cp:coreProperties>
</file>

<file path=docProps/custom.xml><?xml version="1.0" encoding="utf-8"?>
<Properties xmlns="http://schemas.openxmlformats.org/officeDocument/2006/custom-properties" xmlns:vt="http://schemas.openxmlformats.org/officeDocument/2006/docPropsVTypes"/>
</file>