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2024年贵州省导游词(5篇)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贵州省导游词篇一我姓某，名某某，大家可以叫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贵州省导游词篇一</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为鹏。怒而飞，其翼若垂天之云。是鸟也，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_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贵州省导游词篇三</w:t>
      </w:r>
    </w:p>
    <w:p>
      <w:pPr>
        <w:ind w:left="0" w:right="0" w:firstLine="560"/>
        <w:spacing w:before="450" w:after="450" w:line="312" w:lineRule="auto"/>
      </w:pPr>
      <w:r>
        <w:rPr>
          <w:rFonts w:ascii="宋体" w:hAnsi="宋体" w:eastAsia="宋体" w:cs="宋体"/>
          <w:color w:val="000"/>
          <w:sz w:val="28"/>
          <w:szCs w:val="28"/>
        </w:rPr>
        <w:t xml:space="preserve">织金古城，山清水秀，溪涧纵横，古迹众多，门类齐全，包括佛寺、道观、文庙、书院、会馆、祠堂、衙署、宝塔、泉井、津梁、古道、民居、店铺、作坊等方方面面，分布在一座座大理石小山上和流经城内的贯城河畔。</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560"/>
        <w:spacing w:before="450" w:after="450" w:line="312" w:lineRule="auto"/>
      </w:pPr>
      <w:r>
        <w:rPr>
          <w:rFonts w:ascii="宋体" w:hAnsi="宋体" w:eastAsia="宋体" w:cs="宋体"/>
          <w:color w:val="000"/>
          <w:sz w:val="28"/>
          <w:szCs w:val="28"/>
        </w:rPr>
        <w:t xml:space="preserve">小街龙王庙位于城关镇城南小街四方井。始建于清初。坐西向东。由山门、大殿、观音阁组成。占地面积约300平方米，建筑面积约260平方米。大殿面阔三间，通面阔9.8米，进深三间，通进深8米许，抬梁穿斗混合结构悬山青瓦顶，前后双步廊，前廊深1.82米，后廊深1米许。隔扇门窗。观音阁，面阔三间，通面阔7.78米，进深三间，通进深6.2米，穿斗式木结构歇山青瓦顶，隔扇门窗。</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贵州省导游词篇四</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4"/>
          <w:szCs w:val="34"/>
          <w:b w:val="1"/>
          <w:bCs w:val="1"/>
        </w:rPr>
        <w:t xml:space="preserve">贵州省导游词篇五</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