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2024年会计个人年中工作总结及下半年工作计划(四篇)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会计个人年中工作总结及下半年工作计划篇一一、工作落实情况。(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会计个人年中工作总结及下半年工作计划篇一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会计个人年中工作总结及下半年工作计划篇二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w:t>
      </w:r>
    </w:p>
    <w:p>
      <w:pPr>
        <w:ind w:left="0" w:right="0" w:firstLine="560"/>
        <w:spacing w:before="450" w:after="450" w:line="312" w:lineRule="auto"/>
      </w:pPr>
      <w:r>
        <w:rPr>
          <w:rFonts w:ascii="宋体" w:hAnsi="宋体" w:eastAsia="宋体" w:cs="宋体"/>
          <w:color w:val="000"/>
          <w:sz w:val="28"/>
          <w:szCs w:val="28"/>
        </w:rPr>
        <w:t xml:space="preserve">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会计个人年中工作总结及下半年工作计划篇三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xx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今年计财处全体干部能够按要求认真参加市局组织的政治业务学习、辅导讲座等学习教育活动，并认真撰写政治笔记，心得体会。重点从三个方面加强了政治理论和思想认识内容的学习。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乌鲁木齐市委关于贯彻学习党的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1.结合实际测算下达20xx年度地方级税收分征收单位税收计划建议和报告。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xx年税收会统报表年度会审工作。组织了系统内9个区县税务局税收会计统计人员进行20xx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5.组织安排布置20xx年全系统税收统计的企业划型及相关年报表统计工作。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20xx年度统计报表上报区局。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三代”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7.按月根据各区(县)局上报的数据报区局，税收电旬报。编报市局税收收入进度表，每月根据各区(县)局上报的银行对账单与人民银行进行市级收入的对账，每月对国税代征两税两费数据进行统计;</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9.拟定20xx年税收票证各项工作通知、安排、计划。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xx年税收票证检查工作。此次检查对市局系统11个用票单位，176个持票人，货物运输业代征，邮政门市代征，进行了检查。检查范围为20xx年1月至20xx年5月的税收票证使用、管理和税款缴库情况。重点检查征管系统票证管理中票证数据的查询核对。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针对“营改增”工作的推进，重点检查货物运输业代开票情况，并要求货物运输业代开工作近期要严格票证、手续费等结报、缴销、申报工作。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xx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每月21日给区局上报重点税源企业数据;上报一季度重点税源企业分析报告;上报20xx年全年、20xx年一季度税收高风险企业数据核查报告;上报20xx年纳税大户税收核实数据。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三代”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2.部门决算工作：组织召开本系统20xx年度部门决算编报会审会议，圆满完成了各核算单位的决算，及系统决算，并对20xx年财务情况进行了分析及绩效评价。参加区局部门决算会审工作。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xx年财政供给单位人员信息数据更新工作的通知》，对各预算单位20xx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固定基数、增长提成”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xx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7.完成了本系统“小金库” 长效机制工作档案报表报送工作。治理“小金库”长效机制档案报表包括《单位开设银行账户情况表》和《单位非税收入收缴情况表》，涉及16个核算单位。清理后规范账户65户，清理20xx年上缴非税收入 87.69万元。包括资产出租出借收入81.74万元，资产处置收入5.59万元。通过治理工作的开展，要求各单位要进一步加强对“小金库”治理工作的思想认识，努力克服消极思想和懈怠情绪，认真总结经验，积极查找不足，巩固“小金库”专项治理工作成果。认真落实治理“小金库”长效机制的建设，从健全惩治和预防腐败体系，加强党风廉政建设的高度，将“小金库”治理纳入日常监督管理工作中，常抓不懈，从源头上防范和杜绝“小金库”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8.进行了系统规范职工食堂管理调研工作。落实自治区党委巡视组对20xx年系统存在津补贴发放不规范的问题整改情况的工作。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9.“三代”税款手续费工作。上半年年共核拨手续费2100万元。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1.完成了20xx年各基层单位上报的基建计划的收集整理、过会和批复工作，并按基建管理相关要求向自治区地税局上报了20xx年基本建设项目计划及预算资金的申请。累计申请基建项目资金700万元。(20xx 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5.下发了20xx年度政府集中采购目录和分散采购限额标准，并就20xx年的政府采购工作作出了相关要求。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6.完成了20xx年一季度和上半年政府采购报表的报送工作。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1、完成了各单位20xx年资产占有使用权登记年检及审核上报工作。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2、完成了各单位20xx年资产信息报表的审核上报工作。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2.陪同区审计厅工作人员前往2家企业(自治区钢铁运输公司—头区、新疆蓝天石油化学物流有限公司—沙区)进行了实地查看，核实了企业申报等情况。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xx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1.年初，根据区地税局车辆配备管理规定，安排布置了市局系统各单位上报本年及下一年度的车辆购置计划工作。汇总后，经市局党组会议研究同意，分别上报了20xx和20xx年度车辆购置计划的请示。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xx〕33号)和《自治区地方税务局关于重新核定全区地税系统公务车辆编制的通知》(新地税函〔20xx〕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保持存量、统筹安排增量”的原则，严格按照规定的标准核定了所属各单位的车辆编制，经市局研究同意按时上报了《乌鲁木齐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3.根据《自治区地方税务局关于乌鲁木齐市地方税务局公务车辆编制的批复》(新地税函〔20xx〕183号)规定，及时对所属13个单位分别下发了核定的车辆编制通知。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xx〕50号)要求，定编后重新上报车辆配置计划。接此通知后及时安排了此项工作，按照新定的车辆编制数，汇总了缺编的单位重新上报的车辆配置计划，经市局研究同意按时上报了《乌鲁木齐市地税局关于20xx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1.积极配合市审计局、区局督察内审处对我局20xx年税收计划执行情况进行审计。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560"/>
        <w:spacing w:before="450" w:after="450" w:line="312" w:lineRule="auto"/>
      </w:pPr>
      <w:r>
        <w:rPr>
          <w:rFonts w:ascii="黑体" w:hAnsi="黑体" w:eastAsia="黑体" w:cs="黑体"/>
          <w:color w:val="000000"/>
          <w:sz w:val="34"/>
          <w:szCs w:val="34"/>
          <w:b w:val="1"/>
          <w:bCs w:val="1"/>
        </w:rPr>
        <w:t xml:space="preserve">会计个人年中工作总结及下半年工作计划篇四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__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今年计财处全体干部能够按要求认真参加市局组织的政治业务学习、辅导讲座等学习教育活动，并认真撰写政治笔记，心得体会。重点从三个方面加强了政治理论和思想认识内容的学习。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乌鲁木齐市委关于贯彻学习党的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1.结合实际测算下达20__年度地方级税收分征收单位税收计划建议和报告。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__年税收会统报表年度会审工作。组织了系统内9个区县税务局税收会计统计人员进行20__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5.组织安排布置20__年全系统税收统计的企业划型及相关年报表统计工作。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20__年度统计报表上报区局。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三代”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7.按月根据各区(县)局上报的数据报区局，税收电旬报。编报市局税收收入进度表，每月根据各区(县)局上报的银行对账单与人民银行进行市级收入的对账，每月对国税代征两税两费数据进行统计;</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9.拟定20__年税收票证各项工作通知、安排、计划。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__年税收票证检查工作。此次检查对市局系统11个用票单位，176个持票人，货物运输业代征，邮政门市代征，进行了检查。检查范围为20__年1月至20__年5月的税收票证使用、管理和税款缴库情况。重点检查征管系统票证管理中票证数据的查询核对。对检查单位的情况和问题进行了通报，并监督进行整改。上报了20__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针对“营改增”工作的推进，重点检查货物运输业代开票情况，并要求货物运输业代开工作近期要严格票证、手续费等结报、缴销、申报工作。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对检查单位的情况和问题进行了通报，并监督进行整改。上报了20__年税收票专项证检查的报告。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__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每月21日给区局上报重点税源企业数据;上报一季度重点税源企业分析报告;上报20__年全年、20__年一季度税收高风险企业数据核查报告;上报20__年纳税大户税收核实数据。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三代”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2.部门决算工作：组织召开本系统20__年度部门决算编报会审会议，圆满完成了各核算单位的决算，及系统决算，并对20__年财务情况进行了分析及绩效评价。参加区局部门决算会审工作。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__年财政供给单位人员信息数据更新工作的通知》，对各预算单位20__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固定基数、增长提成”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__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7.完成了本系统“小金库” 长效机制工作档案报表报送工作。治理“小金库”长效机制档案报表包括《单位开设银行账户情况表》和《单位非税收入收缴情况表》，涉及16个核算单位。清理后规范账户：户，清理20__年上缴非税收入 87.69万元。包括资产出租出借收入81.74万元，资产处置收入5.59万元。通过治理工作的开展，要求各单位要进一步加强对“小金库”治理工作的思想认识，努力克服消极思想和懈怠情绪，认真总结经验，积极查找不足，巩固“小金库”专项治理工作成果。认真落实治理“小金库”长效机制的建设，从健全惩治和预防腐败体系，加强党风廉政建设的高度，将“小金库”治理纳入日常监督管理工作中，常抓不懈，从源头上防范和杜绝“小金库”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8.进行了系统规范职工食堂管理调研工作。落实自治区党委巡视组对20__年系统存在津补贴发放不规范的问题整改情况的工作。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9.“三代”税款手续费工作。上半年年共核拨手续费2100万元。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1.完成了20__年各基层单位上报的基建计划的收集整理、过会和批复工作，并按基建管理相关要求向自治区地税局上报了20__年基本建设项目计划及预算资金的申请。累计申请基建项目资金700万元。(20__ 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5.下发了20__年度政府集中采购目录和分散采购限额标准，并就20__年的政府采购工作作出了相关要求。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6.完成了20__年一季度和上半年政府采购报表的报送工作。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1、完成了各单位20__年资产占有使用权登记年检及审核上报工作。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2、完成了各单位20__年资产信息报表的审核上报工作。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2.陪同区审计厅工作人员前往2家企业(自治区钢铁运输公司—头区、新疆蓝天石油化学物流有限公司—沙区)进行了实地查看，核实了企业申报等情况。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__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1.年初，根据区地税局车辆配备管理规定，安排布置了市局系统各单位上报本年及下一年度的车辆购置计划工作。汇总后，经市局党组会议研究同意，分别上报了20__和20__年度车辆购置计划的请示。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__〕33号)和《自治区地方税务局关于重新核定全区地税系统公务车辆编制的通知》(新地税函〔20__〕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保持存量、统筹安排增量”的原则，严格按照规定的标准核定了所属各单位的车辆编制，经市局研究同意按时上报了《乌鲁木齐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3.根据《自治区地方税务局关于乌鲁木齐市地方税务局公务车辆编制的批复》(新地税函〔20__〕183号)规定，及时对所属13个单位分别下发了核定的车辆编制通知。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__〕50号)要求，定编后重新上报车辆配置计划。接此通知后及时安排了此项工作，按照新定的车辆编制数，汇总了缺编的单位重新上报的车辆配置计划，经市局研究同意按时上报了《乌鲁木齐市地税局关于20__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1.积极配合市审计局、区局督察内审处对我局20__年税收计划执行情况进行审计。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2024-09-21T02:42:16+08:00</dcterms:created>
  <dcterms:modified xsi:type="dcterms:W3CDTF">2024-09-21T02:42:16+08:00</dcterms:modified>
</cp:coreProperties>
</file>

<file path=docProps/custom.xml><?xml version="1.0" encoding="utf-8"?>
<Properties xmlns="http://schemas.openxmlformats.org/officeDocument/2006/custom-properties" xmlns:vt="http://schemas.openxmlformats.org/officeDocument/2006/docPropsVTypes"/>
</file>