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最新开展以案促改心得体会(五篇)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开展以案促改心得体会篇一以案促改既是对典型案件的有效利用，更是以案为鉴，防控风险于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开展以案促改心得体会篇一</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开展以案促改心得体会篇二</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开展以案促改心得体会篇三</w:t>
      </w:r>
    </w:p>
    <w:p>
      <w:pPr>
        <w:ind w:left="0" w:right="0" w:firstLine="560"/>
        <w:spacing w:before="450" w:after="450" w:line="312" w:lineRule="auto"/>
      </w:pPr>
      <w:r>
        <w:rPr>
          <w:rFonts w:ascii="宋体" w:hAnsi="宋体" w:eastAsia="宋体" w:cs="宋体"/>
          <w:color w:val="000"/>
          <w:sz w:val="28"/>
          <w:szCs w:val="28"/>
        </w:rPr>
        <w:t xml:space="preserve">高压反腐，如何标本兼治做好执纪审查的后续文章尤其重要。6月1日召开的全市坚持标本兼治、推进以案促改工作会议透露，我市将开展为期两个月的集中行动，打好标本兼治、以案促改“五场战役”。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开展以案促改心得体会篇四</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开展以案促改心得体会篇五</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透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2024-09-20T21:50:09+08:00</dcterms:created>
  <dcterms:modified xsi:type="dcterms:W3CDTF">2024-09-20T21:50:09+08:00</dcterms:modified>
</cp:coreProperties>
</file>

<file path=docProps/custom.xml><?xml version="1.0" encoding="utf-8"?>
<Properties xmlns="http://schemas.openxmlformats.org/officeDocument/2006/custom-properties" xmlns:vt="http://schemas.openxmlformats.org/officeDocument/2006/docPropsVTypes"/>
</file>