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银行柜员自查报告范文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今年我县开展企业评机关、行风评议活动几个月来，我们中国工商银行谷城支行通过自查存在的问题和广泛搜集社会各界的意见，归纳起来，主要是服务环境需要进一步改善，服务水平需要进一步提高，贷款力度需要进一步加大。对这些问题，我行边查边改。现将自查自...</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款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加强硬件建设，改善服务环境。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开展三项活动，提升服务品质。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坚持信贷创新，加大贷款力度。我行在办好企业抵押贷款的同时，针对部分企业贷款抵押值不足的实际，创新贷款路子，先后办理了以企业钢材、小麦、棉纱等大宗物质质押的商品融资，以企业应收帐款质押的贸易融资，以企业对方银行开具的确认函为质押的信用证卖方融资，还发放了企业一次抵押、循环使用的小企业网络循环贷款。为了支持我县个体民营</w:t>
      </w:r>
    </w:p>
    <w:p>
      <w:pPr>
        <w:ind w:left="0" w:right="0" w:firstLine="560"/>
        <w:spacing w:before="450" w:after="450" w:line="312" w:lineRule="auto"/>
      </w:pPr>
      <w:r>
        <w:rPr>
          <w:rFonts w:ascii="宋体" w:hAnsi="宋体" w:eastAsia="宋体" w:cs="宋体"/>
          <w:color w:val="000"/>
          <w:sz w:val="28"/>
          <w:szCs w:val="28"/>
        </w:rPr>
        <w:t xml:space="preserve">经济发展和居民创业就业，我行发放了商铺按揭贷款，等等。信贷工作的创新，拓展了贷款路子，增加了信贷资金容量。到9月末，我行各项贷款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县委县政府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2024-10-06T12:36:22+08:00</dcterms:created>
  <dcterms:modified xsi:type="dcterms:W3CDTF">2024-10-06T12:36:22+08:00</dcterms:modified>
</cp:coreProperties>
</file>

<file path=docProps/custom.xml><?xml version="1.0" encoding="utf-8"?>
<Properties xmlns="http://schemas.openxmlformats.org/officeDocument/2006/custom-properties" xmlns:vt="http://schemas.openxmlformats.org/officeDocument/2006/docPropsVTypes"/>
</file>