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会计电算化专业实习报告</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实习报告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w:t>
      </w:r>
    </w:p>
    <w:p>
      <w:pPr>
        <w:ind w:left="0" w:right="0" w:firstLine="560"/>
        <w:spacing w:before="450" w:after="450" w:line="312" w:lineRule="auto"/>
      </w:pPr>
      <w:r>
        <w:rPr>
          <w:rFonts w:ascii="宋体" w:hAnsi="宋体" w:eastAsia="宋体" w:cs="宋体"/>
          <w:color w:val="000"/>
          <w:sz w:val="28"/>
          <w:szCs w:val="28"/>
        </w:rPr>
        <w:t xml:space="preserve">会计电算化专业实习报告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2024-10-18T13:19:33+08:00</dcterms:created>
  <dcterms:modified xsi:type="dcterms:W3CDTF">2024-10-18T13:19:33+08:00</dcterms:modified>
</cp:coreProperties>
</file>

<file path=docProps/custom.xml><?xml version="1.0" encoding="utf-8"?>
<Properties xmlns="http://schemas.openxmlformats.org/officeDocument/2006/custom-properties" xmlns:vt="http://schemas.openxmlformats.org/officeDocument/2006/docPropsVTypes"/>
</file>