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2024年小学总务后勤工作职责(3篇)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小学总务后勤工作职责篇一2、遵守职业道德，严守工作纪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小学总务后勤工作职责篇一</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4"/>
          <w:szCs w:val="34"/>
          <w:b w:val="1"/>
          <w:bCs w:val="1"/>
        </w:rPr>
        <w:t xml:space="preserve">小学总务后勤工作职责篇二</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三、工作措施和途径[_TAG_h3]小学总务后勤工作职责篇三</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 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(l)各学校要按中心学校要求签订好治理乱收费的责任书和承诺书，坚决杜绝乱收费行为，严禁向学生收取补课费、教辅费、试卷资料费、班费、插班费等任何一分钱;不准以任何理由对学生进行罚款。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