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建材销售合同样本3篇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签订销售合同是一种法律行为，合同的内容、形式、程序及手续都必须合法。以下是范文网小编为大家精心准备的：建材销售合同样本3篇，欢迎参考阅读!建材销售合同样本一需方 湖南省第四工程有限公司株冶低货位项目部 (以下简称甲方) 供方 株洲天仙水泥有...</w:t>
      </w:r>
    </w:p>
    <w:p>
      <w:pPr>
        <w:ind w:left="0" w:right="0" w:firstLine="560"/>
        <w:spacing w:before="450" w:after="450" w:line="312" w:lineRule="auto"/>
      </w:pPr>
      <w:r>
        <w:rPr>
          <w:rFonts w:ascii="宋体" w:hAnsi="宋体" w:eastAsia="宋体" w:cs="宋体"/>
          <w:color w:val="000"/>
          <w:sz w:val="28"/>
          <w:szCs w:val="28"/>
        </w:rPr>
        <w:t xml:space="preserve">签订销售合同是一种法律行为，合同的内容、形式、程序及手续都必须合法。以下是范文网小编为大家精心准备的：建材销售合同样本3篇，欢迎参考阅读!</w:t>
      </w:r>
    </w:p>
    <w:p>
      <w:pPr>
        <w:ind w:left="0" w:right="0" w:firstLine="560"/>
        <w:spacing w:before="450" w:after="450" w:line="312" w:lineRule="auto"/>
      </w:pPr>
      <w:r>
        <w:rPr>
          <w:rFonts w:ascii="宋体" w:hAnsi="宋体" w:eastAsia="宋体" w:cs="宋体"/>
          <w:color w:val="000"/>
          <w:sz w:val="28"/>
          <w:szCs w:val="28"/>
        </w:rPr>
        <w:t xml:space="preserve">建材销售合同样本一</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宋体" w:hAnsi="宋体" w:eastAsia="宋体" w:cs="宋体"/>
          <w:color w:val="000"/>
          <w:sz w:val="28"/>
          <w:szCs w:val="28"/>
        </w:rPr>
        <w:t xml:space="preserve">建材销售合同样本二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建材销售合同样本三</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货物名称、规格：详见附件</w:t>
      </w:r>
    </w:p>
    <w:p>
      <w:pPr>
        <w:ind w:left="0" w:right="0" w:firstLine="560"/>
        <w:spacing w:before="450" w:after="450" w:line="312" w:lineRule="auto"/>
      </w:pPr>
      <w:r>
        <w:rPr>
          <w:rFonts w:ascii="宋体" w:hAnsi="宋体" w:eastAsia="宋体" w:cs="宋体"/>
          <w:color w:val="000"/>
          <w:sz w:val="28"/>
          <w:szCs w:val="28"/>
        </w:rPr>
        <w:t xml:space="preserve">第二条 数量、单价、总值：详见附件</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第四条 付款方式：买方应按上述约定的交货期限将相应付款项以本款第 项方式支付至卖方下述账户：(1)电汇 (2)支票 (3)现金 (4)银行汇票 (5)银行划款 (6)刷卡</w:t>
      </w:r>
    </w:p>
    <w:p>
      <w:pPr>
        <w:ind w:left="0" w:right="0" w:firstLine="560"/>
        <w:spacing w:before="450" w:after="450" w:line="312" w:lineRule="auto"/>
      </w:pPr>
      <w:r>
        <w:rPr>
          <w:rFonts w:ascii="宋体" w:hAnsi="宋体" w:eastAsia="宋体" w:cs="宋体"/>
          <w:color w:val="000"/>
          <w:sz w:val="28"/>
          <w:szCs w:val="28"/>
        </w:rPr>
        <w:t xml:space="preserve">第五条 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 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 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2024-11-05T04:32:04+08:00</dcterms:created>
  <dcterms:modified xsi:type="dcterms:W3CDTF">2024-11-05T04:32:04+08:00</dcterms:modified>
</cp:coreProperties>
</file>

<file path=docProps/custom.xml><?xml version="1.0" encoding="utf-8"?>
<Properties xmlns="http://schemas.openxmlformats.org/officeDocument/2006/custom-properties" xmlns:vt="http://schemas.openxmlformats.org/officeDocument/2006/docPropsVTypes"/>
</file>