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市产品质量和食品安全工作调查报告</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提高产品质量和食品安全，促进产品质量法、食品卫生法等法律法规的贯彻实施，市人大常委会副主任带领市人大财经委、农业环保委和教科文卫民侨委负责人，就当前我市产品质量和食品安全工作情况开展了调研和督查。 一、基本情况 近年来，我市高度重视产品...</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XX制造声誉不断扩大;监管体系得到健全，质量基础进一步夯实;全民质量安全意识有了新提高，社会环境进一步改善。特别是去年8月份开始，我市按照国务院、省政府的统一部署，结合XX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十七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研究建立质量安全百姓查询平台 ，定期召开产品质量和食品安全新闻发布会，公布质量信息，将食品等产品质量状况、问题产品的查处结果以及严重违法企业黑名单信息向群众公开，加强舆论宣传和监督，保障人民群众的知情权和监督权。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三)进一步加大产品质量和食品安全的执法力度。要在认真学法的基础上，采取联合执法、突击检查、专项整治等方式，深化巩固去年全国专项整治成果，继续开展家具、玩具、服装等十类产品的专项整治，着手开展省委、省政府部署的为期三年、以农村为重点的十小整治，全过程加强产品质量和食品安全监管，严把进出口商品质量安全关，严格实施产品质量安全市场退出制度，严厉打击制售假冒伪劣违法行为。同时，对一些在法律条款上交叉或者缺乏配套细则的，建议作进一步研究和完善。</w:t>
      </w:r>
    </w:p>
    <w:p>
      <w:pPr>
        <w:ind w:left="0" w:right="0" w:firstLine="560"/>
        <w:spacing w:before="450" w:after="450" w:line="312" w:lineRule="auto"/>
      </w:pPr>
      <w:r>
        <w:rPr>
          <w:rFonts w:ascii="宋体" w:hAnsi="宋体" w:eastAsia="宋体" w:cs="宋体"/>
          <w:color w:val="000"/>
          <w:sz w:val="28"/>
          <w:szCs w:val="28"/>
        </w:rPr>
        <w:t xml:space="preserve">(四)进一步推广现代经营方式，依托现代科技手段。要大力发展连锁经营、物流配送等现代流通方式，并积极向农村延伸。充分利用现代化信息技术，推进产品质量电子监管、检验检疫电子监管、通关单联网核查、药品稽查信息平台等信息化建设，提高技术保障能力。加强技术服务平台建设，支持鼓励南浔区建立省级电线电缆检测中心，安吉县建立省级转椅检测中心，长兴县建立省级蓄电池检测中心。</w:t>
      </w:r>
    </w:p>
    <w:p>
      <w:pPr>
        <w:ind w:left="0" w:right="0" w:firstLine="560"/>
        <w:spacing w:before="450" w:after="450" w:line="312" w:lineRule="auto"/>
      </w:pPr>
      <w:r>
        <w:rPr>
          <w:rFonts w:ascii="宋体" w:hAnsi="宋体" w:eastAsia="宋体" w:cs="宋体"/>
          <w:color w:val="000"/>
          <w:sz w:val="28"/>
          <w:szCs w:val="28"/>
        </w:rPr>
        <w:t xml:space="preserve">(五)进一步健全基层网络建设。产品质量和食品安全的重点在基层，难点在农村。从我市目前的情况看，面广量大的各类企业，情况复杂，历史遗留问题多，而基层质量监管人员编制和装备严重不足，监管难度大。建议政府就基层特别是农村的产品质量和食品安全网络建设加以研究，加大财政投入力度，进一步充实人员编制，配备产品质量和食品安全巡查检验车辆，确保这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2024-10-06T20:37:40+08:00</dcterms:created>
  <dcterms:modified xsi:type="dcterms:W3CDTF">2024-10-06T20:37:40+08:00</dcterms:modified>
</cp:coreProperties>
</file>

<file path=docProps/custom.xml><?xml version="1.0" encoding="utf-8"?>
<Properties xmlns="http://schemas.openxmlformats.org/officeDocument/2006/custom-properties" xmlns:vt="http://schemas.openxmlformats.org/officeDocument/2006/docPropsVTypes"/>
</file>