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办公室月度工作计划(四篇)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办公室月度工作计划篇一一、对企业管理工作的理解...</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办公室月度工作计划篇一</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办公室月度工作计划篇二</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办公室月度工作计划篇三</w:t>
      </w:r>
    </w:p>
    <w:p>
      <w:pPr>
        <w:ind w:left="0" w:right="0" w:firstLine="560"/>
        <w:spacing w:before="450" w:after="450" w:line="312" w:lineRule="auto"/>
      </w:pPr>
      <w:r>
        <w:rPr>
          <w:rFonts w:ascii="宋体" w:hAnsi="宋体" w:eastAsia="宋体" w:cs="宋体"/>
          <w:color w:val="000"/>
          <w:sz w:val="28"/>
          <w:szCs w:val="28"/>
        </w:rPr>
        <w:t xml:space="preserve">一、指导思想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办公室月度工作计划篇四</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完成时限：20xx年12月至20xx年1月份起草各类管理制度，20xx年1月抽出一星期时间每天下午14：00召集各部门主管研究讨论，初稿订下来后，报总经理批准。春节放假开工时正式颁布。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2024-10-19T03:15:17+08:00</dcterms:created>
  <dcterms:modified xsi:type="dcterms:W3CDTF">2024-10-19T03:15:17+08:00</dcterms:modified>
</cp:coreProperties>
</file>

<file path=docProps/custom.xml><?xml version="1.0" encoding="utf-8"?>
<Properties xmlns="http://schemas.openxmlformats.org/officeDocument/2006/custom-properties" xmlns:vt="http://schemas.openxmlformats.org/officeDocument/2006/docPropsVTypes"/>
</file>