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暑期教材培训心得体会</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合作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习平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宋体" w:hAnsi="宋体" w:eastAsia="宋体" w:cs="宋体"/>
          <w:color w:val="000"/>
          <w:sz w:val="28"/>
          <w:szCs w:val="28"/>
        </w:rPr>
        <w:t xml:space="preserve">小学数学教材培训总结范文</w:t>
      </w:r>
    </w:p>
    <w:p>
      <w:pPr>
        <w:ind w:left="0" w:right="0" w:firstLine="560"/>
        <w:spacing w:before="450" w:after="450" w:line="312" w:lineRule="auto"/>
      </w:pPr>
      <w:r>
        <w:rPr>
          <w:rFonts w:ascii="宋体" w:hAnsi="宋体" w:eastAsia="宋体" w:cs="宋体"/>
          <w:color w:val="000"/>
          <w:sz w:val="28"/>
          <w:szCs w:val="28"/>
        </w:rPr>
        <w:t xml:space="preserve">小学语文教材培训心得体会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2024-10-06T04:01:57+08:00</dcterms:created>
  <dcterms:modified xsi:type="dcterms:W3CDTF">2024-10-06T04:01:57+08:00</dcterms:modified>
</cp:coreProperties>
</file>

<file path=docProps/custom.xml><?xml version="1.0" encoding="utf-8"?>
<Properties xmlns="http://schemas.openxmlformats.org/officeDocument/2006/custom-properties" xmlns:vt="http://schemas.openxmlformats.org/officeDocument/2006/docPropsVTypes"/>
</file>